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D7" w:rsidRPr="0019668D" w:rsidRDefault="00582771" w:rsidP="008C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Приложение к</w:t>
      </w:r>
      <w:r w:rsidR="008D03D7" w:rsidRPr="0019668D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Pr="0019668D">
        <w:rPr>
          <w:rFonts w:ascii="Times New Roman" w:hAnsi="Times New Roman" w:cs="Times New Roman"/>
          <w:sz w:val="20"/>
          <w:szCs w:val="20"/>
        </w:rPr>
        <w:t>ю</w:t>
      </w:r>
      <w:r w:rsidR="008D03D7" w:rsidRPr="00196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3D7" w:rsidRPr="0019668D" w:rsidRDefault="008D03D7" w:rsidP="008C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D03D7" w:rsidRPr="0019668D" w:rsidRDefault="008D03D7" w:rsidP="008C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МО «Муйский район»</w:t>
      </w:r>
    </w:p>
    <w:p w:rsidR="001914DC" w:rsidRPr="0019668D" w:rsidRDefault="00AE73B1" w:rsidP="008C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9668D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="00582771" w:rsidRPr="0019668D">
        <w:rPr>
          <w:rFonts w:ascii="Times New Roman" w:hAnsi="Times New Roman" w:cs="Times New Roman"/>
          <w:sz w:val="20"/>
          <w:szCs w:val="20"/>
        </w:rPr>
        <w:t>30</w:t>
      </w:r>
      <w:r w:rsidR="0043538B" w:rsidRPr="0019668D">
        <w:rPr>
          <w:rFonts w:ascii="Times New Roman" w:hAnsi="Times New Roman" w:cs="Times New Roman"/>
          <w:sz w:val="20"/>
          <w:szCs w:val="20"/>
        </w:rPr>
        <w:t>»</w:t>
      </w:r>
      <w:r w:rsidR="00263BAC" w:rsidRPr="0019668D">
        <w:rPr>
          <w:rFonts w:ascii="Times New Roman" w:hAnsi="Times New Roman" w:cs="Times New Roman"/>
          <w:sz w:val="20"/>
          <w:szCs w:val="20"/>
        </w:rPr>
        <w:t xml:space="preserve"> </w:t>
      </w:r>
      <w:r w:rsidR="00B3360C" w:rsidRPr="0019668D">
        <w:rPr>
          <w:rFonts w:ascii="Times New Roman" w:hAnsi="Times New Roman" w:cs="Times New Roman"/>
          <w:sz w:val="20"/>
          <w:szCs w:val="20"/>
        </w:rPr>
        <w:t xml:space="preserve"> </w:t>
      </w:r>
      <w:r w:rsidR="00582771" w:rsidRPr="0019668D">
        <w:rPr>
          <w:rFonts w:ascii="Times New Roman" w:hAnsi="Times New Roman" w:cs="Times New Roman"/>
          <w:sz w:val="20"/>
          <w:szCs w:val="20"/>
        </w:rPr>
        <w:t>дека</w:t>
      </w:r>
      <w:r w:rsidR="00341588" w:rsidRPr="0019668D">
        <w:rPr>
          <w:rFonts w:ascii="Times New Roman" w:hAnsi="Times New Roman" w:cs="Times New Roman"/>
          <w:sz w:val="20"/>
          <w:szCs w:val="20"/>
        </w:rPr>
        <w:t>бря</w:t>
      </w:r>
      <w:r w:rsidR="00B3360C" w:rsidRPr="0019668D">
        <w:rPr>
          <w:rFonts w:ascii="Times New Roman" w:hAnsi="Times New Roman" w:cs="Times New Roman"/>
          <w:sz w:val="20"/>
          <w:szCs w:val="20"/>
        </w:rPr>
        <w:t xml:space="preserve"> </w:t>
      </w:r>
      <w:r w:rsidRPr="0019668D">
        <w:rPr>
          <w:rFonts w:ascii="Times New Roman" w:hAnsi="Times New Roman" w:cs="Times New Roman"/>
          <w:sz w:val="20"/>
          <w:szCs w:val="20"/>
        </w:rPr>
        <w:t>20</w:t>
      </w:r>
      <w:r w:rsidR="00B13084" w:rsidRPr="0019668D">
        <w:rPr>
          <w:rFonts w:ascii="Times New Roman" w:hAnsi="Times New Roman" w:cs="Times New Roman"/>
          <w:sz w:val="20"/>
          <w:szCs w:val="20"/>
        </w:rPr>
        <w:t>2</w:t>
      </w:r>
      <w:r w:rsidR="00E17E13" w:rsidRPr="0019668D">
        <w:rPr>
          <w:rFonts w:ascii="Times New Roman" w:hAnsi="Times New Roman" w:cs="Times New Roman"/>
          <w:sz w:val="20"/>
          <w:szCs w:val="20"/>
        </w:rPr>
        <w:t>2</w:t>
      </w:r>
      <w:r w:rsidRPr="0019668D">
        <w:rPr>
          <w:rFonts w:ascii="Times New Roman" w:hAnsi="Times New Roman" w:cs="Times New Roman"/>
          <w:sz w:val="20"/>
          <w:szCs w:val="20"/>
        </w:rPr>
        <w:t xml:space="preserve">г.   </w:t>
      </w:r>
      <w:r w:rsidRPr="0019668D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582771" w:rsidRPr="0019668D">
        <w:rPr>
          <w:rFonts w:ascii="Times New Roman" w:hAnsi="Times New Roman" w:cs="Times New Roman"/>
          <w:sz w:val="20"/>
          <w:szCs w:val="20"/>
          <w:u w:val="single"/>
        </w:rPr>
        <w:t>723</w:t>
      </w:r>
    </w:p>
    <w:p w:rsidR="00582771" w:rsidRPr="0019668D" w:rsidRDefault="00582771" w:rsidP="008C122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D03D7" w:rsidRPr="0019668D" w:rsidRDefault="008D03D7" w:rsidP="008C1224">
      <w:pPr>
        <w:pStyle w:val="11"/>
        <w:ind w:left="360"/>
        <w:jc w:val="center"/>
        <w:rPr>
          <w:b/>
        </w:rPr>
      </w:pPr>
      <w:proofErr w:type="gramStart"/>
      <w:r w:rsidRPr="0019668D">
        <w:rPr>
          <w:b/>
        </w:rPr>
        <w:t>Подпрограмма  «</w:t>
      </w:r>
      <w:proofErr w:type="gramEnd"/>
      <w:r w:rsidRPr="0019668D">
        <w:rPr>
          <w:b/>
        </w:rPr>
        <w:t xml:space="preserve">Переселение граждан из ветхого и аварийного жилищного фонда </w:t>
      </w:r>
    </w:p>
    <w:p w:rsidR="008D03D7" w:rsidRPr="0019668D" w:rsidRDefault="008D03D7" w:rsidP="008C12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68D">
        <w:rPr>
          <w:rFonts w:ascii="Times New Roman" w:hAnsi="Times New Roman" w:cs="Times New Roman"/>
          <w:b/>
          <w:sz w:val="20"/>
          <w:szCs w:val="20"/>
        </w:rPr>
        <w:t xml:space="preserve">в зоне Байкало-Амурской магистрали на </w:t>
      </w:r>
      <w:proofErr w:type="gramStart"/>
      <w:r w:rsidRPr="0019668D">
        <w:rPr>
          <w:rFonts w:ascii="Times New Roman" w:hAnsi="Times New Roman" w:cs="Times New Roman"/>
          <w:b/>
          <w:sz w:val="20"/>
          <w:szCs w:val="20"/>
        </w:rPr>
        <w:t>территории  Муйского</w:t>
      </w:r>
      <w:proofErr w:type="gramEnd"/>
      <w:r w:rsidRPr="0019668D">
        <w:rPr>
          <w:rFonts w:ascii="Times New Roman" w:hAnsi="Times New Roman" w:cs="Times New Roman"/>
          <w:b/>
          <w:sz w:val="20"/>
          <w:szCs w:val="20"/>
        </w:rPr>
        <w:t xml:space="preserve">  района Республики Бурятия» </w:t>
      </w:r>
    </w:p>
    <w:p w:rsidR="0019668D" w:rsidRPr="0019668D" w:rsidRDefault="0019668D" w:rsidP="008C12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3D7" w:rsidRPr="0019668D" w:rsidRDefault="008D03D7" w:rsidP="008C1224">
      <w:pPr>
        <w:pStyle w:val="11"/>
        <w:jc w:val="center"/>
        <w:rPr>
          <w:b/>
        </w:rPr>
      </w:pPr>
      <w:r w:rsidRPr="0019668D">
        <w:rPr>
          <w:b/>
        </w:rPr>
        <w:t xml:space="preserve">Паспорт </w:t>
      </w:r>
    </w:p>
    <w:p w:rsidR="0019668D" w:rsidRPr="0019668D" w:rsidRDefault="0019668D" w:rsidP="008C1224">
      <w:pPr>
        <w:pStyle w:val="11"/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98"/>
        <w:gridCol w:w="7210"/>
      </w:tblGrid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жилищного фонда в зоне Байкало-Амурской магистрали на территории Муйского  района Республики Бурятия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Подпрограммы, координатор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  <w:r w:rsidR="00A65E0B"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«Муйский район» 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МО ГП «Таксимо»</w:t>
            </w:r>
            <w:r w:rsidR="00A65E0B"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МО ГП «Северомуйское»</w:t>
            </w:r>
            <w:r w:rsidR="00021962" w:rsidRPr="0019668D">
              <w:rPr>
                <w:rFonts w:ascii="Times New Roman" w:hAnsi="Times New Roman" w:cs="Times New Roman"/>
                <w:sz w:val="20"/>
                <w:szCs w:val="20"/>
              </w:rPr>
              <w:t>, МКУ "Упра</w:t>
            </w:r>
            <w:bookmarkStart w:id="0" w:name="_GoBack"/>
            <w:bookmarkEnd w:id="0"/>
            <w:r w:rsidR="00021962" w:rsidRPr="0019668D">
              <w:rPr>
                <w:rFonts w:ascii="Times New Roman" w:hAnsi="Times New Roman" w:cs="Times New Roman"/>
                <w:sz w:val="20"/>
                <w:szCs w:val="20"/>
              </w:rPr>
              <w:t>вление ЖКХ и муниципального имущества"</w:t>
            </w:r>
          </w:p>
        </w:tc>
      </w:tr>
      <w:tr w:rsidR="002A1773" w:rsidRPr="0019668D" w:rsidTr="0019668D">
        <w:trPr>
          <w:trHeight w:val="70"/>
        </w:trPr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Цель 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 граждан, проживающих в жилищном фонде, признанном ветхим, аварийным и непригодным для проживания в соответстви</w:t>
            </w:r>
            <w:r w:rsidR="0092018B" w:rsidRPr="0019668D">
              <w:rPr>
                <w:rFonts w:ascii="Times New Roman" w:hAnsi="Times New Roman" w:cs="Times New Roman"/>
                <w:sz w:val="20"/>
                <w:szCs w:val="20"/>
              </w:rPr>
              <w:t>и с установленными стандартами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Обеспечение нормальных условий для безопасной и комфортной жизнедеятельности граждан;</w:t>
            </w:r>
          </w:p>
          <w:p w:rsidR="008D03D7" w:rsidRPr="0019668D" w:rsidRDefault="008D03D7" w:rsidP="008C12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Ликвидация ветхого и аварийного жилищного фонда на территории Муйского района.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7210" w:type="dxa"/>
          </w:tcPr>
          <w:p w:rsidR="008D03D7" w:rsidRPr="0019668D" w:rsidRDefault="00635668" w:rsidP="008C1224">
            <w:pPr>
              <w:pStyle w:val="11"/>
              <w:widowControl/>
              <w:rPr>
                <w:bCs/>
              </w:rPr>
            </w:pPr>
            <w:r w:rsidRPr="0019668D">
              <w:t>1.Количество переселенных семей из ветхого и аварийного жилищного фонда; 2.Площадь ветхого и аварийного жилищного фонда, подлежащая сносу.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Этапы и сроки реализации </w:t>
            </w: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Сроки реализации: 20</w:t>
            </w:r>
            <w:r w:rsidR="005C3C8D" w:rsidRPr="0019668D">
              <w:rPr>
                <w:rFonts w:ascii="Times New Roman" w:hAnsi="Times New Roman" w:cs="Times New Roman"/>
                <w:sz w:val="20"/>
                <w:szCs w:val="20"/>
              </w:rPr>
              <w:t>20- 2025 годы.</w:t>
            </w: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tbl>
            <w:tblPr>
              <w:tblW w:w="70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276"/>
              <w:gridCol w:w="1325"/>
              <w:gridCol w:w="1350"/>
              <w:gridCol w:w="1361"/>
              <w:gridCol w:w="916"/>
            </w:tblGrid>
            <w:tr w:rsidR="002A1773" w:rsidRPr="0019668D" w:rsidTr="0019668D">
              <w:trPr>
                <w:trHeight w:val="268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Годы 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3D7" w:rsidRPr="0019668D" w:rsidRDefault="008531A2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БП</w:t>
                  </w:r>
                </w:p>
              </w:tc>
            </w:tr>
            <w:tr w:rsidR="002A1773" w:rsidRPr="0019668D" w:rsidTr="0019668D">
              <w:trPr>
                <w:trHeight w:val="18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03D7" w:rsidRPr="0019668D" w:rsidRDefault="004D3876" w:rsidP="008C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</w:t>
                  </w:r>
                  <w:r w:rsidR="008D03D7"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6469"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503FC" w:rsidRPr="0019668D" w:rsidRDefault="008C1224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142443,4</w:t>
                  </w:r>
                </w:p>
              </w:tc>
              <w:tc>
                <w:tcPr>
                  <w:tcW w:w="1325" w:type="dxa"/>
                  <w:shd w:val="clear" w:color="auto" w:fill="FFFFFF" w:themeFill="background1"/>
                  <w:tcMar>
                    <w:top w:w="15" w:type="dxa"/>
                    <w:left w:w="108" w:type="dxa"/>
                    <w:right w:w="108" w:type="dxa"/>
                  </w:tcMar>
                </w:tcPr>
                <w:p w:rsidR="002503FC" w:rsidRPr="0019668D" w:rsidRDefault="001A0BC5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129060,7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tcMar>
                    <w:top w:w="15" w:type="dxa"/>
                    <w:left w:w="108" w:type="dxa"/>
                    <w:right w:w="108" w:type="dxa"/>
                  </w:tcMar>
                </w:tcPr>
                <w:p w:rsidR="00AF1698" w:rsidRPr="0019668D" w:rsidRDefault="008C1224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11237,9</w:t>
                  </w:r>
                </w:p>
              </w:tc>
              <w:tc>
                <w:tcPr>
                  <w:tcW w:w="1361" w:type="dxa"/>
                  <w:shd w:val="clear" w:color="auto" w:fill="FFFFFF" w:themeFill="background1"/>
                  <w:tcMar>
                    <w:top w:w="15" w:type="dxa"/>
                    <w:left w:w="108" w:type="dxa"/>
                    <w:right w:w="108" w:type="dxa"/>
                  </w:tcMar>
                </w:tcPr>
                <w:p w:rsidR="00AF1698" w:rsidRPr="0019668D" w:rsidRDefault="008C1224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AF1698"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263BA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1397,7</w:t>
                  </w:r>
                </w:p>
              </w:tc>
            </w:tr>
            <w:tr w:rsidR="002A1773" w:rsidRPr="0019668D" w:rsidTr="0019668D">
              <w:trPr>
                <w:trHeight w:val="18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  <w:r w:rsidR="004D3876"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  <w:r w:rsidR="00560E2C"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F1698" w:rsidRPr="0019668D" w:rsidRDefault="00B23D8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116075,5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503FC" w:rsidRPr="0019668D" w:rsidRDefault="00B23D8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108915,0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503FC" w:rsidRPr="0019668D" w:rsidRDefault="00B23D8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6952,0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AF1698" w:rsidRPr="0019668D" w:rsidRDefault="00B23D8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208,5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B23D8C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A1773" w:rsidRPr="0019668D" w:rsidTr="0019668D">
              <w:trPr>
                <w:trHeight w:val="18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03D7" w:rsidRPr="0019668D" w:rsidRDefault="008D03D7" w:rsidP="008C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  <w:r w:rsidR="004D3876"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22</w:t>
                  </w:r>
                  <w:r w:rsidR="00E17E13"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03D7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129130,3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E17E13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117411,1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E17E13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7494,3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224,9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8D03D7" w:rsidRPr="0019668D" w:rsidRDefault="00456D11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E17E13"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</w:t>
                  </w:r>
                </w:p>
              </w:tc>
            </w:tr>
            <w:tr w:rsidR="002A1773" w:rsidRPr="0019668D" w:rsidTr="0019668D">
              <w:trPr>
                <w:trHeight w:val="18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A36469" w:rsidRPr="0019668D" w:rsidRDefault="00582771" w:rsidP="008C12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2023г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6469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121804,5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A36469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113190,3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A36469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7224,9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A36469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217,1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A36469" w:rsidRPr="0019668D" w:rsidRDefault="0019668D" w:rsidP="008C1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1172,2</w:t>
                  </w:r>
                </w:p>
              </w:tc>
            </w:tr>
            <w:tr w:rsidR="002A1773" w:rsidRPr="0019668D" w:rsidTr="0019668D">
              <w:trPr>
                <w:trHeight w:val="20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E2C" w:rsidRPr="0019668D" w:rsidRDefault="00560E2C" w:rsidP="00560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2024г</w:t>
                  </w: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0E2C" w:rsidRPr="0019668D" w:rsidRDefault="0019668D" w:rsidP="00560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130757,9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560E2C" w:rsidRPr="0019668D" w:rsidRDefault="0019668D" w:rsidP="003B1D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121032,4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560E2C" w:rsidRPr="0019668D" w:rsidRDefault="0019668D" w:rsidP="00560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7725,5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560E2C" w:rsidRPr="0019668D" w:rsidRDefault="0019668D" w:rsidP="00560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560E2C" w:rsidRPr="0019668D" w:rsidRDefault="0019668D" w:rsidP="00560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</w:t>
                  </w:r>
                </w:p>
              </w:tc>
            </w:tr>
            <w:tr w:rsidR="0019668D" w:rsidRPr="0019668D" w:rsidTr="0019668D">
              <w:trPr>
                <w:trHeight w:val="25"/>
              </w:trPr>
              <w:tc>
                <w:tcPr>
                  <w:tcW w:w="85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2025г*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130757,9</w:t>
                  </w:r>
                </w:p>
              </w:tc>
              <w:tc>
                <w:tcPr>
                  <w:tcW w:w="132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121032,4</w:t>
                  </w:r>
                </w:p>
              </w:tc>
              <w:tc>
                <w:tcPr>
                  <w:tcW w:w="1350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7725,5</w:t>
                  </w:r>
                </w:p>
              </w:tc>
              <w:tc>
                <w:tcPr>
                  <w:tcW w:w="136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19668D" w:rsidRPr="0019668D" w:rsidRDefault="0019668D" w:rsidP="0019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6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</w:t>
                  </w:r>
                </w:p>
              </w:tc>
            </w:tr>
          </w:tbl>
          <w:p w:rsidR="008D03D7" w:rsidRPr="0019668D" w:rsidRDefault="008D03D7" w:rsidP="008C1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1773" w:rsidRPr="0019668D" w:rsidTr="0019668D">
        <w:tc>
          <w:tcPr>
            <w:tcW w:w="410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8D03D7" w:rsidRPr="0019668D" w:rsidRDefault="008D03D7" w:rsidP="008C1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Ожидаемые </w:t>
            </w: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результаты реализации </w:t>
            </w:r>
            <w:r w:rsidRPr="001966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10" w:type="dxa"/>
          </w:tcPr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Обеспечение граждан, проживающих в </w:t>
            </w:r>
            <w:proofErr w:type="gramStart"/>
            <w:r w:rsidRPr="0019668D">
              <w:rPr>
                <w:rFonts w:ascii="Times New Roman" w:hAnsi="Times New Roman" w:cs="Times New Roman"/>
              </w:rPr>
              <w:t>ветхом  и</w:t>
            </w:r>
            <w:proofErr w:type="gramEnd"/>
            <w:r w:rsidRPr="0019668D">
              <w:rPr>
                <w:rFonts w:ascii="Times New Roman" w:hAnsi="Times New Roman" w:cs="Times New Roman"/>
              </w:rPr>
              <w:t xml:space="preserve"> аварийном жилищном фонде в </w:t>
            </w:r>
            <w:r w:rsidRPr="0019668D">
              <w:rPr>
                <w:rFonts w:ascii="Times New Roman" w:hAnsi="Times New Roman" w:cs="Times New Roman"/>
                <w:bCs/>
              </w:rPr>
              <w:t>зоне Бурятского участка</w:t>
            </w:r>
            <w:r w:rsidRPr="0019668D">
              <w:rPr>
                <w:rFonts w:ascii="Times New Roman" w:hAnsi="Times New Roman" w:cs="Times New Roman"/>
              </w:rPr>
              <w:t xml:space="preserve"> БАМа, на территории Муйского района, благоустроенными жилыми помещениями.</w:t>
            </w:r>
            <w:r w:rsidR="004A4156" w:rsidRPr="0019668D">
              <w:rPr>
                <w:rFonts w:ascii="Times New Roman" w:hAnsi="Times New Roman" w:cs="Times New Roman"/>
              </w:rPr>
              <w:t xml:space="preserve"> 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создать благоприятные условия для </w:t>
            </w:r>
            <w:proofErr w:type="gramStart"/>
            <w:r w:rsidRPr="0019668D">
              <w:rPr>
                <w:rFonts w:ascii="Times New Roman" w:hAnsi="Times New Roman" w:cs="Times New Roman"/>
              </w:rPr>
              <w:t>наращивания  объемов</w:t>
            </w:r>
            <w:proofErr w:type="gramEnd"/>
            <w:r w:rsidRPr="0019668D">
              <w:rPr>
                <w:rFonts w:ascii="Times New Roman" w:hAnsi="Times New Roman" w:cs="Times New Roman"/>
              </w:rPr>
              <w:t xml:space="preserve"> нового  жилищного строительства на территории </w:t>
            </w:r>
            <w:proofErr w:type="spellStart"/>
            <w:r w:rsidRPr="0019668D">
              <w:rPr>
                <w:rFonts w:ascii="Times New Roman" w:hAnsi="Times New Roman" w:cs="Times New Roman"/>
              </w:rPr>
              <w:t>п.Таксимо</w:t>
            </w:r>
            <w:proofErr w:type="spellEnd"/>
            <w:r w:rsidRPr="0019668D">
              <w:rPr>
                <w:rFonts w:ascii="Times New Roman" w:hAnsi="Times New Roman" w:cs="Times New Roman"/>
              </w:rPr>
              <w:t xml:space="preserve"> муниципального образования «Муйский район», что будет способствовать развитию строительной отрасли;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повысить   комфортность    и    безопасность </w:t>
            </w:r>
            <w:proofErr w:type="gramStart"/>
            <w:r w:rsidRPr="0019668D">
              <w:rPr>
                <w:rFonts w:ascii="Times New Roman" w:hAnsi="Times New Roman" w:cs="Times New Roman"/>
              </w:rPr>
              <w:t>проживания  граждан</w:t>
            </w:r>
            <w:proofErr w:type="gramEnd"/>
            <w:r w:rsidRPr="0019668D">
              <w:rPr>
                <w:rFonts w:ascii="Times New Roman" w:hAnsi="Times New Roman" w:cs="Times New Roman"/>
              </w:rPr>
              <w:t xml:space="preserve"> в  жилищном  фонде,  признанном  ветхим  или непригодным для проживания, в соответствии с установленными стандартами; 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обеспечить жильем на    условиях    договора социального найма граждан с низким   уровнем доходов, проживающих </w:t>
            </w:r>
            <w:proofErr w:type="gramStart"/>
            <w:r w:rsidRPr="0019668D">
              <w:rPr>
                <w:rFonts w:ascii="Times New Roman" w:hAnsi="Times New Roman" w:cs="Times New Roman"/>
              </w:rPr>
              <w:t>в  государственном</w:t>
            </w:r>
            <w:proofErr w:type="gramEnd"/>
            <w:r w:rsidRPr="0019668D">
              <w:rPr>
                <w:rFonts w:ascii="Times New Roman" w:hAnsi="Times New Roman" w:cs="Times New Roman"/>
              </w:rPr>
              <w:t xml:space="preserve">  или муниципальном жилищном   фонде,   признанном непригодным для проживания; 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 xml:space="preserve">снизить социальную напряженность в обществе; </w:t>
            </w:r>
          </w:p>
          <w:p w:rsidR="008D03D7" w:rsidRPr="0019668D" w:rsidRDefault="008D03D7" w:rsidP="008C12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668D">
              <w:rPr>
                <w:rFonts w:ascii="Times New Roman" w:hAnsi="Times New Roman" w:cs="Times New Roman"/>
              </w:rPr>
              <w:t>Реализация  программы  будет  способствовать улучшению    экологической    обстановки   в результате   проведения    мероприятий    по рекультивации и благоустройству  территорий, на   которых   будет   осуществлен   снос  и ликвидация  ветхого  и  аварийного жилищного фонда.</w:t>
            </w:r>
          </w:p>
        </w:tc>
      </w:tr>
    </w:tbl>
    <w:p w:rsidR="008D03D7" w:rsidRPr="0019668D" w:rsidRDefault="00260FFA" w:rsidP="008C122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19668D">
        <w:rPr>
          <w:rFonts w:ascii="Times New Roman" w:hAnsi="Times New Roman" w:cs="Times New Roman"/>
        </w:rPr>
        <w:t>*-</w:t>
      </w:r>
      <w:r w:rsidR="008D03D7" w:rsidRPr="0019668D">
        <w:rPr>
          <w:rFonts w:ascii="Times New Roman" w:hAnsi="Times New Roman" w:cs="Times New Roman"/>
        </w:rPr>
        <w:t>Носит прогнозируемый характер, подлежит уточнению при формировании местного бюджета на соответствующий год</w:t>
      </w:r>
      <w:r w:rsidRPr="0019668D">
        <w:rPr>
          <w:rFonts w:ascii="Times New Roman" w:hAnsi="Times New Roman" w:cs="Times New Roman"/>
        </w:rPr>
        <w:t>.</w:t>
      </w:r>
    </w:p>
    <w:p w:rsidR="00260FFA" w:rsidRDefault="00260FFA" w:rsidP="008C122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32D0A" w:rsidRDefault="00132D0A" w:rsidP="008C122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32D0A" w:rsidRPr="0019668D" w:rsidRDefault="00132D0A" w:rsidP="008C122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8D03D7" w:rsidRPr="0019668D" w:rsidRDefault="008D03D7" w:rsidP="008C1224">
      <w:pPr>
        <w:pStyle w:val="11"/>
        <w:numPr>
          <w:ilvl w:val="0"/>
          <w:numId w:val="5"/>
        </w:numPr>
        <w:jc w:val="center"/>
        <w:rPr>
          <w:b/>
        </w:rPr>
      </w:pPr>
      <w:r w:rsidRPr="0019668D">
        <w:rPr>
          <w:b/>
        </w:rPr>
        <w:lastRenderedPageBreak/>
        <w:t>Характеристика сферы реализации Подпрограммы, описание основных проблем и прогноз ее развития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К </w:t>
      </w:r>
      <w:r w:rsidR="00CC1B0A" w:rsidRPr="0019668D">
        <w:rPr>
          <w:rFonts w:ascii="Times New Roman" w:hAnsi="Times New Roman" w:cs="Times New Roman"/>
          <w:sz w:val="20"/>
          <w:szCs w:val="20"/>
        </w:rPr>
        <w:t>территории, прилегающей</w:t>
      </w:r>
      <w:r w:rsidRPr="0019668D">
        <w:rPr>
          <w:rFonts w:ascii="Times New Roman" w:hAnsi="Times New Roman" w:cs="Times New Roman"/>
          <w:sz w:val="20"/>
          <w:szCs w:val="20"/>
        </w:rPr>
        <w:t xml:space="preserve"> к Байкало-Амурской </w:t>
      </w:r>
      <w:r w:rsidR="00CC1B0A" w:rsidRPr="0019668D">
        <w:rPr>
          <w:rFonts w:ascii="Times New Roman" w:hAnsi="Times New Roman" w:cs="Times New Roman"/>
          <w:sz w:val="20"/>
          <w:szCs w:val="20"/>
        </w:rPr>
        <w:t>магистрали, относятся</w:t>
      </w:r>
      <w:r w:rsidRPr="0019668D">
        <w:rPr>
          <w:rFonts w:ascii="Times New Roman" w:hAnsi="Times New Roman" w:cs="Times New Roman"/>
          <w:sz w:val="20"/>
          <w:szCs w:val="20"/>
        </w:rPr>
        <w:t xml:space="preserve"> следующие муниципальные образования – </w:t>
      </w:r>
      <w:r w:rsidR="00635668" w:rsidRPr="0019668D">
        <w:rPr>
          <w:rFonts w:ascii="Times New Roman" w:hAnsi="Times New Roman" w:cs="Times New Roman"/>
          <w:sz w:val="20"/>
          <w:szCs w:val="20"/>
        </w:rPr>
        <w:t>г</w:t>
      </w:r>
      <w:r w:rsidRPr="0019668D">
        <w:rPr>
          <w:rFonts w:ascii="Times New Roman" w:hAnsi="Times New Roman" w:cs="Times New Roman"/>
          <w:sz w:val="20"/>
          <w:szCs w:val="20"/>
        </w:rPr>
        <w:t>ородское поселение «</w:t>
      </w:r>
      <w:r w:rsidR="00635668" w:rsidRPr="0019668D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19668D">
        <w:rPr>
          <w:rFonts w:ascii="Times New Roman" w:hAnsi="Times New Roman" w:cs="Times New Roman"/>
          <w:sz w:val="20"/>
          <w:szCs w:val="20"/>
        </w:rPr>
        <w:t xml:space="preserve">Таксимо», </w:t>
      </w:r>
      <w:r w:rsidR="00635668" w:rsidRPr="0019668D">
        <w:rPr>
          <w:rFonts w:ascii="Times New Roman" w:hAnsi="Times New Roman" w:cs="Times New Roman"/>
          <w:sz w:val="20"/>
          <w:szCs w:val="20"/>
        </w:rPr>
        <w:t>г</w:t>
      </w:r>
      <w:r w:rsidRPr="0019668D">
        <w:rPr>
          <w:rFonts w:ascii="Times New Roman" w:hAnsi="Times New Roman" w:cs="Times New Roman"/>
          <w:sz w:val="20"/>
          <w:szCs w:val="20"/>
        </w:rPr>
        <w:t>ородское поселение «Северомуйское».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  Переселение граждан из ветхого и аварийного жилищного фонда в зоне БАМа является одной из острых проблем для Республики Бурятия и для Муйского района, в частности. Формирование существующего в настоящее время фонда ветхого и аварийного жилья обусловлено следующими причинами: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- 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утепленными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минераловатными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 плитами, которые предназначались для строителей, работников геологоразведочных и изыскательских экспедиций, осуществлявших свою финансово-хозяйственную деятельность в зоне БАМа. Первые капитальные дома здесь начали появляться только с 1976 года, а временные поселки существуют до сих пор, хотя, согласно документации, рассчитаны они были всего на несколько лет - на период строительства БАМа. В последнее время продолжает возрастать доля жилья с износом более 70 %. Пятиэтажные жилые здания первых массовых серий 1-335АС, 1-306С, эксплуатируемые в течение 25-40 лет, в настоящее время не соответствуют требованиям, предъявляемым к теплозащитным и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сейсмобезопасным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 характеристикам зданий.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- прекращение финансирования строительства в зоне БАМа привело к тому, что объемы постоянного жилого фонда, построенного для обслуживания железной дороги и социальной инфраструктуры поселков, не позволили разместить строителей, оставшихся после остановки работ на магистрали. Поэтому</w:t>
      </w:r>
      <w:r w:rsidR="00635668" w:rsidRPr="0019668D">
        <w:rPr>
          <w:rFonts w:ascii="Times New Roman" w:hAnsi="Times New Roman" w:cs="Times New Roman"/>
          <w:sz w:val="20"/>
          <w:szCs w:val="20"/>
        </w:rPr>
        <w:t>,</w:t>
      </w:r>
      <w:r w:rsidRPr="0019668D">
        <w:rPr>
          <w:rFonts w:ascii="Times New Roman" w:hAnsi="Times New Roman" w:cs="Times New Roman"/>
          <w:sz w:val="20"/>
          <w:szCs w:val="20"/>
        </w:rPr>
        <w:t xml:space="preserve"> они вынуждены проживать в жилых домах временного типа, срок амортизации которых давно истек. В таких домах сложно поддерживать нормальный температурный режим даже при температуре теплоносителя 95 градусов Цельсия.  Жильцы компенсируют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теплопотери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 через стены установкой электрических нагревательных приборов, в результате чего подводящие электрические провода и кабели не выдерживают нагрузки. Вследствие чего часть ветхого жилого фонда уничтожена пожарами. Основной причиной возгорания являются перегрузки электрической сети и неисправная электропроводка в жилых домах временного типа.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Наряду с жилищным фондом, построенным в постоянном исполнении на период строительства   в зоне БАМа, в значительных объемах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было  построено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и  временное жилье, так называемый инвентарный жилищный фонд.  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Завершение строительства БАМа не привело к широкомасштабному освоению природных богатств в непосредственной зоне строительства, но вместе с тем обусловило резкое сокращение количества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строительных  предприятий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, миграцию населения из района. Остро встали проблемы занятости населения, замены ветхого и аварийного жилья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БАМовских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 поселков.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 Передача жилищного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фонда  в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постоянном исполнении с финансовым сопровождением  от  ФГУП «Восточно-Сибирская железная дорога», ОАО «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Нижнеангарсктранстрой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» и других  организаций  осуществлялась на протяжении 1998-2002 годов. 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Так,  к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  2000 году муниципальный жилищный фонд,  во вновь созданном Муйском районе  уже составлял 190,7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тыс.кв.м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.  Существующие на тот период градообразующие предприятия  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возмещали  только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убытки муниципальным предприятиям по содержанию жилищного фонда.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Передача  инвентарного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жилищного фонда во временном исполнении  в муниципальную собственность с соответствующим документальным оформлением </w:t>
      </w:r>
      <w:proofErr w:type="spellStart"/>
      <w:r w:rsidRPr="0019668D">
        <w:rPr>
          <w:rFonts w:ascii="Times New Roman" w:hAnsi="Times New Roman" w:cs="Times New Roman"/>
          <w:sz w:val="20"/>
          <w:szCs w:val="20"/>
        </w:rPr>
        <w:t>Минтрансстроем</w:t>
      </w:r>
      <w:proofErr w:type="spellEnd"/>
      <w:r w:rsidRPr="0019668D">
        <w:rPr>
          <w:rFonts w:ascii="Times New Roman" w:hAnsi="Times New Roman" w:cs="Times New Roman"/>
          <w:sz w:val="20"/>
          <w:szCs w:val="20"/>
        </w:rPr>
        <w:t xml:space="preserve"> СССР не производилась. 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После  передислокации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 предприятий  транспортных строителей в другие регионы России  содержание и обслуживание жилищного фонда во временном исполнении  полностью легло на муниципалитеты.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За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годы  эксплуатации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временный (инвентарный) жилищный фонд  пришел в состояние, непригодное для проживания. Вместе с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 xml:space="preserve">тем,   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>органы местного самоуправления в соответствии с действующим законом  вынуждены были вести регистрацию граждан, проживающих во временном   (инвентарном) жилье.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Жилищный фонд</w:t>
      </w:r>
      <w:r w:rsidR="00542823" w:rsidRPr="0019668D">
        <w:rPr>
          <w:rFonts w:ascii="Times New Roman" w:hAnsi="Times New Roman" w:cs="Times New Roman"/>
          <w:sz w:val="20"/>
          <w:szCs w:val="20"/>
        </w:rPr>
        <w:t xml:space="preserve"> в зоне Бурятского участка БАМа</w:t>
      </w:r>
      <w:r w:rsidRPr="0019668D">
        <w:rPr>
          <w:rFonts w:ascii="Times New Roman" w:hAnsi="Times New Roman" w:cs="Times New Roman"/>
          <w:sz w:val="20"/>
          <w:szCs w:val="20"/>
        </w:rPr>
        <w:t xml:space="preserve"> на территории Муйского района по состоянию на 1 января </w:t>
      </w:r>
      <w:r w:rsidR="009F3986" w:rsidRPr="0019668D">
        <w:rPr>
          <w:rFonts w:ascii="Times New Roman" w:hAnsi="Times New Roman" w:cs="Times New Roman"/>
          <w:sz w:val="20"/>
          <w:szCs w:val="20"/>
        </w:rPr>
        <w:t>20</w:t>
      </w:r>
      <w:r w:rsidR="00FE0721" w:rsidRPr="0019668D">
        <w:rPr>
          <w:rFonts w:ascii="Times New Roman" w:hAnsi="Times New Roman" w:cs="Times New Roman"/>
          <w:sz w:val="20"/>
          <w:szCs w:val="20"/>
        </w:rPr>
        <w:t>20</w:t>
      </w:r>
      <w:r w:rsidRPr="0019668D">
        <w:rPr>
          <w:rFonts w:ascii="Times New Roman" w:hAnsi="Times New Roman" w:cs="Times New Roman"/>
          <w:sz w:val="20"/>
          <w:szCs w:val="20"/>
        </w:rPr>
        <w:t xml:space="preserve"> года составляет </w:t>
      </w:r>
      <w:r w:rsidR="00FE0721" w:rsidRPr="0019668D">
        <w:rPr>
          <w:rFonts w:ascii="Times New Roman" w:hAnsi="Times New Roman" w:cs="Times New Roman"/>
          <w:sz w:val="20"/>
          <w:szCs w:val="20"/>
        </w:rPr>
        <w:t>2</w:t>
      </w:r>
      <w:r w:rsidR="00F8515A" w:rsidRPr="0019668D">
        <w:rPr>
          <w:rFonts w:ascii="Times New Roman" w:hAnsi="Times New Roman" w:cs="Times New Roman"/>
          <w:sz w:val="20"/>
          <w:szCs w:val="20"/>
        </w:rPr>
        <w:t>88,</w:t>
      </w:r>
      <w:proofErr w:type="gramStart"/>
      <w:r w:rsidR="00F8515A" w:rsidRPr="0019668D">
        <w:rPr>
          <w:rFonts w:ascii="Times New Roman" w:hAnsi="Times New Roman" w:cs="Times New Roman"/>
          <w:sz w:val="20"/>
          <w:szCs w:val="20"/>
        </w:rPr>
        <w:t>7</w:t>
      </w:r>
      <w:r w:rsidRPr="0019668D">
        <w:rPr>
          <w:rFonts w:ascii="Times New Roman" w:hAnsi="Times New Roman" w:cs="Times New Roman"/>
          <w:sz w:val="20"/>
          <w:szCs w:val="20"/>
        </w:rPr>
        <w:t xml:space="preserve">  тыс.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квадратных метров.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объему, но и по своим качественным характеристикам.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По состоянию на 01.01.20</w:t>
      </w:r>
      <w:r w:rsidR="00FE0721" w:rsidRPr="0019668D">
        <w:rPr>
          <w:rFonts w:ascii="Times New Roman" w:hAnsi="Times New Roman" w:cs="Times New Roman"/>
          <w:sz w:val="20"/>
          <w:szCs w:val="20"/>
        </w:rPr>
        <w:t>20г</w:t>
      </w:r>
      <w:r w:rsidRPr="0019668D">
        <w:rPr>
          <w:rFonts w:ascii="Times New Roman" w:hAnsi="Times New Roman" w:cs="Times New Roman"/>
          <w:sz w:val="20"/>
          <w:szCs w:val="20"/>
        </w:rPr>
        <w:t xml:space="preserve"> площадь аварийного и ветхого жилищного фонда составляет </w:t>
      </w:r>
      <w:r w:rsidR="00FE0721" w:rsidRPr="0019668D">
        <w:rPr>
          <w:rFonts w:ascii="Times New Roman" w:hAnsi="Times New Roman" w:cs="Times New Roman"/>
          <w:sz w:val="20"/>
          <w:szCs w:val="20"/>
        </w:rPr>
        <w:t>42,144</w:t>
      </w:r>
      <w:r w:rsidRPr="0019668D">
        <w:rPr>
          <w:rFonts w:ascii="Times New Roman" w:hAnsi="Times New Roman" w:cs="Times New Roman"/>
          <w:sz w:val="20"/>
          <w:szCs w:val="20"/>
        </w:rPr>
        <w:t xml:space="preserve"> тыс. квадратных метров, что составляет от общего объема жилищного фонда </w:t>
      </w:r>
      <w:r w:rsidR="00E63510" w:rsidRPr="0019668D">
        <w:rPr>
          <w:rFonts w:ascii="Times New Roman" w:hAnsi="Times New Roman" w:cs="Times New Roman"/>
          <w:sz w:val="20"/>
          <w:szCs w:val="20"/>
        </w:rPr>
        <w:t>1</w:t>
      </w:r>
      <w:r w:rsidR="00F8515A" w:rsidRPr="0019668D">
        <w:rPr>
          <w:rFonts w:ascii="Times New Roman" w:hAnsi="Times New Roman" w:cs="Times New Roman"/>
          <w:sz w:val="20"/>
          <w:szCs w:val="20"/>
        </w:rPr>
        <w:t>4,6</w:t>
      </w:r>
      <w:r w:rsidRPr="0019668D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Во всех населенных пунктах Муйского района Бурятского участка БАМа </w:t>
      </w:r>
      <w:r w:rsidR="00635668" w:rsidRPr="0019668D">
        <w:rPr>
          <w:rFonts w:ascii="Times New Roman" w:hAnsi="Times New Roman" w:cs="Times New Roman"/>
          <w:sz w:val="20"/>
          <w:szCs w:val="20"/>
        </w:rPr>
        <w:t xml:space="preserve">на 01.01.2020г. </w:t>
      </w:r>
      <w:r w:rsidRPr="0019668D">
        <w:rPr>
          <w:rFonts w:ascii="Times New Roman" w:hAnsi="Times New Roman" w:cs="Times New Roman"/>
          <w:sz w:val="20"/>
          <w:szCs w:val="20"/>
        </w:rPr>
        <w:t xml:space="preserve">проживает </w:t>
      </w:r>
      <w:r w:rsidR="00555739" w:rsidRPr="0019668D">
        <w:rPr>
          <w:rFonts w:ascii="Times New Roman" w:hAnsi="Times New Roman" w:cs="Times New Roman"/>
          <w:sz w:val="20"/>
          <w:szCs w:val="20"/>
        </w:rPr>
        <w:t>9,</w:t>
      </w:r>
      <w:r w:rsidR="00CE2C58" w:rsidRPr="0019668D">
        <w:rPr>
          <w:rFonts w:ascii="Times New Roman" w:hAnsi="Times New Roman" w:cs="Times New Roman"/>
          <w:sz w:val="20"/>
          <w:szCs w:val="20"/>
        </w:rPr>
        <w:t>5</w:t>
      </w:r>
      <w:r w:rsidR="00635668" w:rsidRPr="0019668D">
        <w:rPr>
          <w:rFonts w:ascii="Times New Roman" w:hAnsi="Times New Roman" w:cs="Times New Roman"/>
          <w:sz w:val="20"/>
          <w:szCs w:val="20"/>
        </w:rPr>
        <w:t>5</w:t>
      </w:r>
      <w:r w:rsidRPr="0019668D">
        <w:rPr>
          <w:rFonts w:ascii="Times New Roman" w:hAnsi="Times New Roman" w:cs="Times New Roman"/>
          <w:sz w:val="20"/>
          <w:szCs w:val="20"/>
        </w:rPr>
        <w:t xml:space="preserve"> тыс. человек, из них </w:t>
      </w:r>
      <w:r w:rsidR="00CE2C58" w:rsidRPr="0019668D">
        <w:rPr>
          <w:rFonts w:ascii="Times New Roman" w:hAnsi="Times New Roman" w:cs="Times New Roman"/>
          <w:sz w:val="20"/>
          <w:szCs w:val="20"/>
        </w:rPr>
        <w:t>3,6</w:t>
      </w:r>
      <w:r w:rsidRPr="00196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3713" w:rsidRPr="0019668D">
        <w:rPr>
          <w:rFonts w:ascii="Times New Roman" w:hAnsi="Times New Roman" w:cs="Times New Roman"/>
          <w:sz w:val="20"/>
          <w:szCs w:val="20"/>
        </w:rPr>
        <w:t>тыс.чел</w:t>
      </w:r>
      <w:proofErr w:type="spellEnd"/>
      <w:r w:rsidR="005C3713" w:rsidRPr="0019668D">
        <w:rPr>
          <w:rFonts w:ascii="Times New Roman" w:hAnsi="Times New Roman" w:cs="Times New Roman"/>
          <w:sz w:val="20"/>
          <w:szCs w:val="20"/>
        </w:rPr>
        <w:t>.</w:t>
      </w:r>
      <w:r w:rsidRPr="0019668D">
        <w:rPr>
          <w:rFonts w:ascii="Times New Roman" w:hAnsi="Times New Roman" w:cs="Times New Roman"/>
          <w:sz w:val="20"/>
          <w:szCs w:val="20"/>
        </w:rPr>
        <w:t xml:space="preserve"> </w:t>
      </w:r>
      <w:r w:rsidR="00635668" w:rsidRPr="0019668D">
        <w:rPr>
          <w:rFonts w:ascii="Times New Roman" w:hAnsi="Times New Roman" w:cs="Times New Roman"/>
          <w:sz w:val="20"/>
          <w:szCs w:val="20"/>
        </w:rPr>
        <w:t xml:space="preserve">- </w:t>
      </w:r>
      <w:r w:rsidRPr="0019668D">
        <w:rPr>
          <w:rFonts w:ascii="Times New Roman" w:hAnsi="Times New Roman" w:cs="Times New Roman"/>
          <w:sz w:val="20"/>
          <w:szCs w:val="20"/>
        </w:rPr>
        <w:t>в ветхом и аварийном жилищном фонде.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 октября 2002 года N 125-ФЗ "О жилищных субсидиях гражданам, выезжающим из районов Крайнего Севера и приравненных к ним местностей" часть граждан, проживающих в ветхом и аварийном фонде в зоне БАМа, имеет право на получение субсидии. Однако, это не решает проблемы комплексного переселения граждан из зоны БАМа. Лимиты, выделяемые из средств федерального бюджета на данное направление, не могут в ближайшей перспективе обеспечить всех очередников социальными выплатами. Время ожидания граждан, включенных в сводные списки на получение государственных жилищных сертификатов, будет с каждым годом увеличиваться, и при существующей очередности растянется на неопределенное время. </w:t>
      </w:r>
    </w:p>
    <w:p w:rsidR="008D03D7" w:rsidRPr="0019668D" w:rsidRDefault="00635668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З</w:t>
      </w:r>
      <w:r w:rsidR="008D03D7" w:rsidRPr="0019668D">
        <w:rPr>
          <w:rFonts w:ascii="Times New Roman" w:hAnsi="Times New Roman" w:cs="Times New Roman"/>
          <w:sz w:val="20"/>
          <w:szCs w:val="20"/>
        </w:rPr>
        <w:t>а 201</w:t>
      </w:r>
      <w:r w:rsidR="009F3986" w:rsidRPr="0019668D">
        <w:rPr>
          <w:rFonts w:ascii="Times New Roman" w:hAnsi="Times New Roman" w:cs="Times New Roman"/>
          <w:sz w:val="20"/>
          <w:szCs w:val="20"/>
        </w:rPr>
        <w:t>5-2019</w:t>
      </w:r>
      <w:r w:rsidR="008D03D7" w:rsidRPr="0019668D">
        <w:rPr>
          <w:rFonts w:ascii="Times New Roman" w:hAnsi="Times New Roman" w:cs="Times New Roman"/>
          <w:sz w:val="20"/>
          <w:szCs w:val="20"/>
        </w:rPr>
        <w:t xml:space="preserve"> годы было выделено </w:t>
      </w:r>
      <w:r w:rsidR="00973096" w:rsidRPr="0019668D">
        <w:rPr>
          <w:rFonts w:ascii="Times New Roman" w:hAnsi="Times New Roman" w:cs="Times New Roman"/>
          <w:sz w:val="20"/>
          <w:szCs w:val="20"/>
        </w:rPr>
        <w:t>17</w:t>
      </w:r>
      <w:r w:rsidR="00841570" w:rsidRPr="0019668D">
        <w:rPr>
          <w:rFonts w:ascii="Times New Roman" w:hAnsi="Times New Roman" w:cs="Times New Roman"/>
          <w:sz w:val="20"/>
          <w:szCs w:val="20"/>
        </w:rPr>
        <w:t>8</w:t>
      </w:r>
      <w:r w:rsidR="008D03D7" w:rsidRPr="0019668D">
        <w:rPr>
          <w:rFonts w:ascii="Times New Roman" w:hAnsi="Times New Roman" w:cs="Times New Roman"/>
          <w:sz w:val="20"/>
          <w:szCs w:val="20"/>
        </w:rPr>
        <w:t xml:space="preserve"> государственных жилищных сертификатов. 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Кроме того, в ветхом и аварийном жилищном фонде проживает </w:t>
      </w:r>
      <w:r w:rsidR="005C3713" w:rsidRPr="0019668D">
        <w:rPr>
          <w:rFonts w:ascii="Times New Roman" w:hAnsi="Times New Roman" w:cs="Times New Roman"/>
          <w:sz w:val="20"/>
          <w:szCs w:val="20"/>
        </w:rPr>
        <w:t>760</w:t>
      </w:r>
      <w:r w:rsidRPr="0019668D">
        <w:rPr>
          <w:rFonts w:ascii="Times New Roman" w:hAnsi="Times New Roman" w:cs="Times New Roman"/>
          <w:sz w:val="20"/>
          <w:szCs w:val="20"/>
        </w:rPr>
        <w:t xml:space="preserve"> семей, с</w:t>
      </w:r>
      <w:r w:rsidR="00E63510" w:rsidRPr="0019668D">
        <w:rPr>
          <w:rFonts w:ascii="Times New Roman" w:hAnsi="Times New Roman" w:cs="Times New Roman"/>
          <w:sz w:val="20"/>
          <w:szCs w:val="20"/>
        </w:rPr>
        <w:t>остоящих</w:t>
      </w:r>
      <w:r w:rsidRPr="0019668D">
        <w:rPr>
          <w:rFonts w:ascii="Times New Roman" w:hAnsi="Times New Roman" w:cs="Times New Roman"/>
          <w:sz w:val="20"/>
          <w:szCs w:val="20"/>
        </w:rPr>
        <w:t xml:space="preserve"> на учете. За 201</w:t>
      </w:r>
      <w:r w:rsidR="00973096" w:rsidRPr="0019668D">
        <w:rPr>
          <w:rFonts w:ascii="Times New Roman" w:hAnsi="Times New Roman" w:cs="Times New Roman"/>
          <w:sz w:val="20"/>
          <w:szCs w:val="20"/>
        </w:rPr>
        <w:t>5</w:t>
      </w:r>
      <w:r w:rsidRPr="0019668D">
        <w:rPr>
          <w:rFonts w:ascii="Times New Roman" w:hAnsi="Times New Roman" w:cs="Times New Roman"/>
          <w:sz w:val="20"/>
          <w:szCs w:val="20"/>
        </w:rPr>
        <w:t>-201</w:t>
      </w:r>
      <w:r w:rsidR="00973096" w:rsidRPr="0019668D">
        <w:rPr>
          <w:rFonts w:ascii="Times New Roman" w:hAnsi="Times New Roman" w:cs="Times New Roman"/>
          <w:sz w:val="20"/>
          <w:szCs w:val="20"/>
        </w:rPr>
        <w:t>9</w:t>
      </w:r>
      <w:r w:rsidRPr="0019668D">
        <w:rPr>
          <w:rFonts w:ascii="Times New Roman" w:hAnsi="Times New Roman" w:cs="Times New Roman"/>
          <w:sz w:val="20"/>
          <w:szCs w:val="20"/>
        </w:rPr>
        <w:t xml:space="preserve"> годы по Муйскому району получили жилищные субсидии </w:t>
      </w:r>
      <w:r w:rsidR="00635668" w:rsidRPr="0019668D">
        <w:rPr>
          <w:rFonts w:ascii="Times New Roman" w:hAnsi="Times New Roman" w:cs="Times New Roman"/>
          <w:sz w:val="20"/>
          <w:szCs w:val="20"/>
        </w:rPr>
        <w:t>465</w:t>
      </w:r>
      <w:r w:rsidRPr="0019668D">
        <w:rPr>
          <w:rFonts w:ascii="Times New Roman" w:hAnsi="Times New Roman" w:cs="Times New Roman"/>
          <w:sz w:val="20"/>
          <w:szCs w:val="20"/>
        </w:rPr>
        <w:t xml:space="preserve"> семей</w:t>
      </w:r>
      <w:r w:rsidR="00E63510" w:rsidRPr="0019668D">
        <w:rPr>
          <w:rFonts w:ascii="Times New Roman" w:hAnsi="Times New Roman" w:cs="Times New Roman"/>
          <w:sz w:val="20"/>
          <w:szCs w:val="20"/>
        </w:rPr>
        <w:t>.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Таким образом, улучшение   жилищных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условий  указанных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категорий граждан возможно в рамках данной Подпрограммы, по следующим направлениям: 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- строительство или приобретение </w:t>
      </w:r>
      <w:proofErr w:type="gramStart"/>
      <w:r w:rsidRPr="0019668D">
        <w:rPr>
          <w:rFonts w:ascii="Times New Roman" w:hAnsi="Times New Roman" w:cs="Times New Roman"/>
          <w:sz w:val="20"/>
          <w:szCs w:val="20"/>
        </w:rPr>
        <w:t>жилья  в</w:t>
      </w:r>
      <w:proofErr w:type="gramEnd"/>
      <w:r w:rsidRPr="0019668D">
        <w:rPr>
          <w:rFonts w:ascii="Times New Roman" w:hAnsi="Times New Roman" w:cs="Times New Roman"/>
          <w:sz w:val="20"/>
          <w:szCs w:val="20"/>
        </w:rPr>
        <w:t xml:space="preserve"> муниципальных образованиях с последующим переселением в него граждан из аварийного жилищного фонда;</w:t>
      </w:r>
    </w:p>
    <w:p w:rsidR="008D03D7" w:rsidRPr="0019668D" w:rsidRDefault="008D03D7" w:rsidP="008C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lastRenderedPageBreak/>
        <w:t xml:space="preserve"> - предоставление социальных выплат собственникам жилых помещений, признанных ветхим и аварийным жильем, для приобретения жилых помещений на территории Республики Бурятия.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9668D">
        <w:rPr>
          <w:rFonts w:ascii="Times New Roman" w:hAnsi="Times New Roman" w:cs="Times New Roman"/>
          <w:b/>
          <w:sz w:val="20"/>
          <w:szCs w:val="20"/>
        </w:rPr>
        <w:t>2. Основные цели и задачи Подпрограммы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Целью Подпрограммы является улучшение жилищных условий граждан, проживающих в жилищном фонде, признанном ветхим, аварийным и непригодным для проживания в соответствии с установленными стандартами.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Исходя из цели программы, определены следующие задачи: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1.</w:t>
      </w:r>
      <w:r w:rsidRPr="0019668D">
        <w:rPr>
          <w:rFonts w:ascii="Times New Roman" w:hAnsi="Times New Roman" w:cs="Times New Roman"/>
          <w:sz w:val="20"/>
          <w:szCs w:val="20"/>
        </w:rPr>
        <w:tab/>
        <w:t>Обеспечение нормальных условий для безопасной и комфортной жизнедеятельности граждан;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2.</w:t>
      </w:r>
      <w:r w:rsidRPr="0019668D">
        <w:rPr>
          <w:rFonts w:ascii="Times New Roman" w:hAnsi="Times New Roman" w:cs="Times New Roman"/>
          <w:sz w:val="20"/>
          <w:szCs w:val="20"/>
        </w:rPr>
        <w:tab/>
        <w:t>Ликвидация ветхого и аварийного жилищного фонда на территории Муйского района.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68D">
        <w:rPr>
          <w:rFonts w:ascii="Times New Roman" w:hAnsi="Times New Roman" w:cs="Times New Roman"/>
          <w:b/>
          <w:sz w:val="20"/>
          <w:szCs w:val="20"/>
        </w:rPr>
        <w:t>3. Ожидаемые результаты реализации Подпрограммы и целевые индикаторы</w:t>
      </w:r>
    </w:p>
    <w:p w:rsidR="008D03D7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1.</w:t>
      </w:r>
    </w:p>
    <w:p w:rsidR="008D03D7" w:rsidRPr="0019668D" w:rsidRDefault="008D03D7" w:rsidP="008C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Таблица 1</w:t>
      </w:r>
    </w:p>
    <w:p w:rsidR="008D03D7" w:rsidRPr="0019668D" w:rsidRDefault="008D03D7" w:rsidP="008C12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Структура Подпрограммы «Переселение граждан из ветхого и аварийного жилищного фонда в зоне Байкало-Амурской магистрали на территории Муйского района Республики Бурятия»</w:t>
      </w:r>
    </w:p>
    <w:tbl>
      <w:tblPr>
        <w:tblStyle w:val="a4"/>
        <w:tblW w:w="10205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897"/>
        <w:gridCol w:w="941"/>
        <w:gridCol w:w="858"/>
        <w:gridCol w:w="850"/>
        <w:gridCol w:w="911"/>
        <w:gridCol w:w="1075"/>
      </w:tblGrid>
      <w:tr w:rsidR="002A1773" w:rsidRPr="0019668D" w:rsidTr="0019668D">
        <w:tc>
          <w:tcPr>
            <w:tcW w:w="3823" w:type="dxa"/>
            <w:vMerge w:val="restart"/>
            <w:vAlign w:val="center"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32" w:type="dxa"/>
            <w:gridSpan w:val="6"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Прогнозный период                         </w:t>
            </w:r>
          </w:p>
        </w:tc>
      </w:tr>
      <w:tr w:rsidR="002A1773" w:rsidRPr="0019668D" w:rsidTr="0019668D">
        <w:tc>
          <w:tcPr>
            <w:tcW w:w="3823" w:type="dxa"/>
            <w:vMerge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C4D36" w:rsidRPr="0019668D" w:rsidRDefault="00A36469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41" w:type="dxa"/>
            <w:vAlign w:val="center"/>
          </w:tcPr>
          <w:p w:rsidR="000C4D36" w:rsidRPr="0019668D" w:rsidRDefault="00624067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858" w:type="dxa"/>
            <w:vAlign w:val="center"/>
          </w:tcPr>
          <w:p w:rsidR="000C4D36" w:rsidRPr="0019668D" w:rsidRDefault="00E17E13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50" w:type="dxa"/>
            <w:vAlign w:val="center"/>
          </w:tcPr>
          <w:p w:rsidR="000C4D36" w:rsidRPr="0019668D" w:rsidRDefault="0019668D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911" w:type="dxa"/>
            <w:vAlign w:val="center"/>
          </w:tcPr>
          <w:p w:rsidR="000C4D36" w:rsidRPr="0019668D" w:rsidRDefault="000C4D36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2024* г</w:t>
            </w:r>
          </w:p>
        </w:tc>
        <w:tc>
          <w:tcPr>
            <w:tcW w:w="1075" w:type="dxa"/>
            <w:vAlign w:val="center"/>
          </w:tcPr>
          <w:p w:rsidR="000C4D36" w:rsidRPr="0019668D" w:rsidRDefault="000C4D36" w:rsidP="008C1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2025* г</w:t>
            </w:r>
          </w:p>
        </w:tc>
      </w:tr>
      <w:tr w:rsidR="002A1773" w:rsidRPr="0019668D" w:rsidTr="0019668D">
        <w:tc>
          <w:tcPr>
            <w:tcW w:w="10205" w:type="dxa"/>
            <w:gridSpan w:val="8"/>
            <w:vAlign w:val="center"/>
          </w:tcPr>
          <w:p w:rsidR="000C4D36" w:rsidRPr="0019668D" w:rsidRDefault="000C4D36" w:rsidP="008C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Цель: улучшение жилищных условий граждан, проживающих в жилищном фонде, признанном ветхим, аварийным и непригодным для проживания в соответствии с установленными стандартами.</w:t>
            </w:r>
          </w:p>
        </w:tc>
      </w:tr>
      <w:tr w:rsidR="002A1773" w:rsidRPr="0019668D" w:rsidTr="0019668D">
        <w:tc>
          <w:tcPr>
            <w:tcW w:w="10205" w:type="dxa"/>
            <w:gridSpan w:val="8"/>
            <w:vAlign w:val="center"/>
          </w:tcPr>
          <w:p w:rsidR="000C4D36" w:rsidRPr="0019668D" w:rsidRDefault="000C4D36" w:rsidP="008C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Задача 1: Обеспечение нормальных условий для безопасной и комфортной жизнедеятельности граждан.</w:t>
            </w:r>
          </w:p>
        </w:tc>
      </w:tr>
      <w:tr w:rsidR="002A1773" w:rsidRPr="0019668D" w:rsidTr="0019668D">
        <w:tc>
          <w:tcPr>
            <w:tcW w:w="10205" w:type="dxa"/>
            <w:gridSpan w:val="8"/>
            <w:vAlign w:val="center"/>
          </w:tcPr>
          <w:p w:rsidR="000C4D36" w:rsidRPr="0019668D" w:rsidRDefault="000C4D36" w:rsidP="008C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2A1773" w:rsidRPr="0019668D" w:rsidTr="0019668D">
        <w:tc>
          <w:tcPr>
            <w:tcW w:w="3823" w:type="dxa"/>
          </w:tcPr>
          <w:p w:rsidR="000C4D36" w:rsidRPr="0019668D" w:rsidRDefault="000C4D36" w:rsidP="008C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1.Количество переселенных семей из ветхого и аварийного жилищного фонда (*- потребность в переселении по району составляет 7</w:t>
            </w:r>
            <w:r w:rsidR="001E7B42" w:rsidRPr="001966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4C6E42" w:rsidRPr="0019668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. Сроки реализации Программы "Переселение граждан из ветхого и аварийного жилищного фонда в зоне БАМ на территории Муйского района Рес</w:t>
            </w:r>
            <w:r w:rsidR="00635668"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публики Бурятия" продлены 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до 202</w:t>
            </w:r>
            <w:r w:rsidR="001E7B42" w:rsidRPr="00196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850" w:type="dxa"/>
            <w:vAlign w:val="center"/>
          </w:tcPr>
          <w:p w:rsidR="000C4D36" w:rsidRPr="0019668D" w:rsidRDefault="000C4D36" w:rsidP="008C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C4D36" w:rsidRPr="0019668D" w:rsidRDefault="00C95D0D" w:rsidP="008C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F1698" w:rsidRPr="0019668D" w:rsidRDefault="00A54411" w:rsidP="008C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F1698" w:rsidRPr="0019668D" w:rsidRDefault="00C95D0D" w:rsidP="00A5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6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D36" w:rsidRPr="0019668D" w:rsidRDefault="0019668D" w:rsidP="008C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C4D36" w:rsidRPr="0019668D" w:rsidRDefault="0019668D" w:rsidP="008C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4D36" w:rsidRPr="0019668D" w:rsidRDefault="0019668D" w:rsidP="008C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A1773" w:rsidRPr="0019668D" w:rsidTr="0019668D">
        <w:tc>
          <w:tcPr>
            <w:tcW w:w="10205" w:type="dxa"/>
            <w:gridSpan w:val="8"/>
            <w:vAlign w:val="center"/>
          </w:tcPr>
          <w:p w:rsidR="005238D9" w:rsidRPr="0019668D" w:rsidRDefault="005238D9" w:rsidP="0052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</w:tc>
      </w:tr>
      <w:tr w:rsidR="00132D0A" w:rsidRPr="0019668D" w:rsidTr="0019668D">
        <w:tc>
          <w:tcPr>
            <w:tcW w:w="3823" w:type="dxa"/>
            <w:vMerge w:val="restart"/>
          </w:tcPr>
          <w:p w:rsidR="00132D0A" w:rsidRPr="0019668D" w:rsidRDefault="00132D0A" w:rsidP="0013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1.1. Переселение граждан из жилых помещений, расположенных  в зоне Байкало-Амурской магистрали, признанных непригодными для проживания, и (или) из </w:t>
            </w:r>
            <w:proofErr w:type="spellStart"/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жилызх</w:t>
            </w:r>
            <w:proofErr w:type="spellEnd"/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домов (помещений), признанных аварийными и не подлежащих реконструкции 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137545,7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116075,5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11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125130,3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ind w:right="-111"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120632,3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128757,9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128757,9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129060,7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108915,0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05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117411,1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ind w:right="-10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113190,3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121032,4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121032,4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8237,9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6952,0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7494,3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7224,9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7725,5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7725,5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97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94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858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91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D0A" w:rsidRPr="0019668D" w:rsidTr="0019668D">
        <w:tc>
          <w:tcPr>
            <w:tcW w:w="3823" w:type="dxa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</w:tc>
        <w:tc>
          <w:tcPr>
            <w:tcW w:w="6382" w:type="dxa"/>
            <w:gridSpan w:val="7"/>
            <w:vAlign w:val="center"/>
          </w:tcPr>
          <w:p w:rsidR="00132D0A" w:rsidRPr="0019668D" w:rsidRDefault="00132D0A" w:rsidP="00132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Обеспечение семей, проживающих в ветхом и аварийном жилищном фонде благоустроенными жилыми помещениями и семей</w:t>
            </w:r>
          </w:p>
        </w:tc>
      </w:tr>
      <w:tr w:rsidR="00132D0A" w:rsidRPr="0019668D" w:rsidTr="0019668D">
        <w:tc>
          <w:tcPr>
            <w:tcW w:w="10205" w:type="dxa"/>
            <w:gridSpan w:val="8"/>
            <w:vAlign w:val="center"/>
          </w:tcPr>
          <w:p w:rsidR="00132D0A" w:rsidRPr="0019668D" w:rsidRDefault="00132D0A" w:rsidP="0013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Задача 2: Ликвидация ветхого и аварийного жилищного фонда на территории Муйского района.</w:t>
            </w:r>
          </w:p>
        </w:tc>
      </w:tr>
      <w:tr w:rsidR="00132D0A" w:rsidRPr="0019668D" w:rsidTr="0019668D">
        <w:tc>
          <w:tcPr>
            <w:tcW w:w="3823" w:type="dxa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Целевые индикаторы: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D0A" w:rsidRPr="0019668D" w:rsidTr="0019668D">
        <w:tc>
          <w:tcPr>
            <w:tcW w:w="3823" w:type="dxa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ветхого и аварийного жилищного фонда, подлежащая сносу 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Тыс.кв.м</w:t>
            </w:r>
            <w:proofErr w:type="spellEnd"/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7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4,907</w:t>
            </w:r>
          </w:p>
        </w:tc>
        <w:tc>
          <w:tcPr>
            <w:tcW w:w="94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1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5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32D0A" w:rsidRPr="0019668D" w:rsidTr="0019668D">
        <w:tc>
          <w:tcPr>
            <w:tcW w:w="10205" w:type="dxa"/>
            <w:gridSpan w:val="8"/>
            <w:vAlign w:val="center"/>
          </w:tcPr>
          <w:p w:rsidR="00132D0A" w:rsidRPr="0019668D" w:rsidRDefault="00132D0A" w:rsidP="0013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</w:tc>
      </w:tr>
      <w:tr w:rsidR="00132D0A" w:rsidRPr="0019668D" w:rsidTr="0019668D">
        <w:tc>
          <w:tcPr>
            <w:tcW w:w="3823" w:type="dxa"/>
            <w:vMerge w:val="restart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Снос  аварийного</w:t>
            </w:r>
            <w:proofErr w:type="gramEnd"/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 и не пригодного для проживания жилищного фонда и рекультивация земель.</w:t>
            </w:r>
          </w:p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(*- в 2020 году направление расходов по мероприятию «Снос аварийного и не пригодного для проживания жилищного фонда и рекультивация земель» закодировано по двум КБК: 07102</w:t>
            </w:r>
            <w:r w:rsidRPr="0019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 xml:space="preserve">80 по МП «Развитие строительного и ЖКК»; 09202 </w:t>
            </w:r>
            <w:r w:rsidRPr="0019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2А80 по МП «Управление муниципальными финансами»)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4897,7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1172,2</w:t>
            </w:r>
          </w:p>
        </w:tc>
        <w:tc>
          <w:tcPr>
            <w:tcW w:w="91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75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3000,0*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500,0*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БП</w:t>
            </w:r>
          </w:p>
        </w:tc>
        <w:tc>
          <w:tcPr>
            <w:tcW w:w="897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94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1172,2</w:t>
            </w:r>
          </w:p>
        </w:tc>
        <w:tc>
          <w:tcPr>
            <w:tcW w:w="911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75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132D0A" w:rsidRPr="0019668D" w:rsidTr="0019668D">
        <w:trPr>
          <w:trHeight w:val="495"/>
        </w:trPr>
        <w:tc>
          <w:tcPr>
            <w:tcW w:w="3823" w:type="dxa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6382" w:type="dxa"/>
            <w:gridSpan w:val="7"/>
            <w:vAlign w:val="center"/>
          </w:tcPr>
          <w:p w:rsidR="00132D0A" w:rsidRPr="0019668D" w:rsidRDefault="00132D0A" w:rsidP="0013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sz w:val="20"/>
                <w:szCs w:val="20"/>
              </w:rPr>
              <w:t>Увеличение объемов жилищного строительства, за счет использования освободившихся земельных участков под строительство нового жилья.</w:t>
            </w:r>
          </w:p>
        </w:tc>
      </w:tr>
      <w:tr w:rsidR="00132D0A" w:rsidRPr="0019668D" w:rsidTr="0019668D">
        <w:tc>
          <w:tcPr>
            <w:tcW w:w="3823" w:type="dxa"/>
            <w:vMerge w:val="restart"/>
            <w:vAlign w:val="center"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ind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142443,4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116075,5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11" w:hanging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29130,3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ind w:right="-111" w:hanging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121804,5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130757,9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130757,9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ind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129060,7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108915,0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05" w:hanging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117411,1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ind w:right="-111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113190,3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121032,4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121032,4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11237,9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6952,0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7494,3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7224,9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7725,5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7725,5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747,1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208,5</w:t>
            </w:r>
          </w:p>
        </w:tc>
        <w:tc>
          <w:tcPr>
            <w:tcW w:w="858" w:type="dxa"/>
            <w:vAlign w:val="center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224,9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217,1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2D0A" w:rsidRPr="0019668D" w:rsidTr="0019668D">
        <w:tc>
          <w:tcPr>
            <w:tcW w:w="3823" w:type="dxa"/>
            <w:vMerge/>
          </w:tcPr>
          <w:p w:rsidR="00132D0A" w:rsidRPr="0019668D" w:rsidRDefault="00132D0A" w:rsidP="00132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0A" w:rsidRPr="0019668D" w:rsidRDefault="00132D0A" w:rsidP="00132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66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БП</w:t>
            </w:r>
          </w:p>
        </w:tc>
        <w:tc>
          <w:tcPr>
            <w:tcW w:w="897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1397,7</w:t>
            </w:r>
          </w:p>
        </w:tc>
        <w:tc>
          <w:tcPr>
            <w:tcW w:w="94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68D">
              <w:rPr>
                <w:rFonts w:ascii="Times New Roman" w:hAnsi="Times New Roman" w:cs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1172,2</w:t>
            </w:r>
          </w:p>
        </w:tc>
        <w:tc>
          <w:tcPr>
            <w:tcW w:w="911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075" w:type="dxa"/>
          </w:tcPr>
          <w:p w:rsidR="00132D0A" w:rsidRPr="0019668D" w:rsidRDefault="00132D0A" w:rsidP="00132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</w:tbl>
    <w:p w:rsidR="006D391B" w:rsidRPr="0019668D" w:rsidRDefault="002839FD" w:rsidP="00A22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>*-Носит прогнозный характер, подлежит уточнению при формировании местного бюджета на соответствующий год.</w:t>
      </w:r>
    </w:p>
    <w:p w:rsidR="00433FE1" w:rsidRPr="0019668D" w:rsidRDefault="008D03D7" w:rsidP="008C12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582771" w:rsidRPr="0019668D" w:rsidRDefault="008D03D7" w:rsidP="00582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9668D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582771" w:rsidRPr="0019668D" w:rsidSect="0019668D">
      <w:footerReference w:type="default" r:id="rId8"/>
      <w:pgSz w:w="11906" w:h="16838" w:code="9"/>
      <w:pgMar w:top="567" w:right="566" w:bottom="425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88" w:rsidRPr="004D6A1F" w:rsidRDefault="00341588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341588" w:rsidRPr="004D6A1F" w:rsidRDefault="00341588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285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41588" w:rsidRPr="008335B6" w:rsidRDefault="00341588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335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335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335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B3AB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335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88" w:rsidRPr="004D6A1F" w:rsidRDefault="00341588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341588" w:rsidRPr="004D6A1F" w:rsidRDefault="00341588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D"/>
    <w:multiLevelType w:val="singleLevel"/>
    <w:tmpl w:val="00000489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1" w15:restartNumberingAfterBreak="0">
    <w:nsid w:val="000003EE"/>
    <w:multiLevelType w:val="singleLevel"/>
    <w:tmpl w:val="0000048A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2" w15:restartNumberingAfterBreak="0">
    <w:nsid w:val="017C200C"/>
    <w:multiLevelType w:val="hybridMultilevel"/>
    <w:tmpl w:val="4348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F6B"/>
    <w:multiLevelType w:val="hybridMultilevel"/>
    <w:tmpl w:val="1AF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AFB"/>
    <w:multiLevelType w:val="hybridMultilevel"/>
    <w:tmpl w:val="7C44A224"/>
    <w:lvl w:ilvl="0" w:tplc="4C66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F3D5C"/>
    <w:multiLevelType w:val="hybridMultilevel"/>
    <w:tmpl w:val="92766110"/>
    <w:lvl w:ilvl="0" w:tplc="8276670E">
      <w:start w:val="4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CC5BD5"/>
    <w:multiLevelType w:val="hybridMultilevel"/>
    <w:tmpl w:val="5AB2B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46E9"/>
    <w:multiLevelType w:val="multilevel"/>
    <w:tmpl w:val="3E2C9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9" w15:restartNumberingAfterBreak="0">
    <w:nsid w:val="11103EDA"/>
    <w:multiLevelType w:val="hybridMultilevel"/>
    <w:tmpl w:val="A9802CA8"/>
    <w:lvl w:ilvl="0" w:tplc="F4B2EE96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3CA3"/>
    <w:multiLevelType w:val="hybridMultilevel"/>
    <w:tmpl w:val="CA829726"/>
    <w:lvl w:ilvl="0" w:tplc="E902A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09D3"/>
    <w:multiLevelType w:val="hybridMultilevel"/>
    <w:tmpl w:val="181AF1DA"/>
    <w:lvl w:ilvl="0" w:tplc="C8AC1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2CF9"/>
    <w:multiLevelType w:val="hybridMultilevel"/>
    <w:tmpl w:val="42A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20E37"/>
    <w:multiLevelType w:val="hybridMultilevel"/>
    <w:tmpl w:val="321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472B"/>
    <w:multiLevelType w:val="hybridMultilevel"/>
    <w:tmpl w:val="1CB4A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80400"/>
    <w:multiLevelType w:val="hybridMultilevel"/>
    <w:tmpl w:val="73ACEE78"/>
    <w:lvl w:ilvl="0" w:tplc="3D507DB2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C2375A"/>
    <w:multiLevelType w:val="hybridMultilevel"/>
    <w:tmpl w:val="B85AF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B2487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E7BF3"/>
    <w:multiLevelType w:val="hybridMultilevel"/>
    <w:tmpl w:val="8C1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30587"/>
    <w:multiLevelType w:val="hybridMultilevel"/>
    <w:tmpl w:val="E26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0C2"/>
    <w:multiLevelType w:val="multilevel"/>
    <w:tmpl w:val="9AA0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004EA6"/>
    <w:multiLevelType w:val="hybridMultilevel"/>
    <w:tmpl w:val="F0046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B7141"/>
    <w:multiLevelType w:val="hybridMultilevel"/>
    <w:tmpl w:val="44049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A1594"/>
    <w:multiLevelType w:val="hybridMultilevel"/>
    <w:tmpl w:val="6A7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7BD9"/>
    <w:multiLevelType w:val="multilevel"/>
    <w:tmpl w:val="8D604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6" w15:restartNumberingAfterBreak="0">
    <w:nsid w:val="560C470D"/>
    <w:multiLevelType w:val="hybridMultilevel"/>
    <w:tmpl w:val="364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62AD"/>
    <w:multiLevelType w:val="hybridMultilevel"/>
    <w:tmpl w:val="A67C5A5E"/>
    <w:lvl w:ilvl="0" w:tplc="3D507DB2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BE477EA"/>
    <w:multiLevelType w:val="hybridMultilevel"/>
    <w:tmpl w:val="CCD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67C25"/>
    <w:multiLevelType w:val="hybridMultilevel"/>
    <w:tmpl w:val="C5D86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4F5F9D"/>
    <w:multiLevelType w:val="hybridMultilevel"/>
    <w:tmpl w:val="DCDC6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447520"/>
    <w:multiLevelType w:val="hybridMultilevel"/>
    <w:tmpl w:val="27568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5527E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E3BB0"/>
    <w:multiLevelType w:val="hybridMultilevel"/>
    <w:tmpl w:val="AAE6EF70"/>
    <w:lvl w:ilvl="0" w:tplc="B7BC4D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8BE71A6"/>
    <w:multiLevelType w:val="hybridMultilevel"/>
    <w:tmpl w:val="A67C5A5E"/>
    <w:lvl w:ilvl="0" w:tplc="3D507DB2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C662905"/>
    <w:multiLevelType w:val="hybridMultilevel"/>
    <w:tmpl w:val="DAA47D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21"/>
  </w:num>
  <w:num w:numId="5">
    <w:abstractNumId w:val="6"/>
  </w:num>
  <w:num w:numId="6">
    <w:abstractNumId w:val="17"/>
  </w:num>
  <w:num w:numId="7">
    <w:abstractNumId w:val="13"/>
  </w:num>
  <w:num w:numId="8">
    <w:abstractNumId w:val="18"/>
  </w:num>
  <w:num w:numId="9">
    <w:abstractNumId w:val="3"/>
  </w:num>
  <w:num w:numId="10">
    <w:abstractNumId w:val="32"/>
  </w:num>
  <w:num w:numId="11">
    <w:abstractNumId w:val="8"/>
  </w:num>
  <w:num w:numId="12">
    <w:abstractNumId w:val="5"/>
  </w:num>
  <w:num w:numId="13">
    <w:abstractNumId w:val="25"/>
  </w:num>
  <w:num w:numId="14">
    <w:abstractNumId w:val="23"/>
  </w:num>
  <w:num w:numId="15">
    <w:abstractNumId w:val="30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  <w:num w:numId="22">
    <w:abstractNumId w:val="29"/>
  </w:num>
  <w:num w:numId="23">
    <w:abstractNumId w:val="22"/>
  </w:num>
  <w:num w:numId="24">
    <w:abstractNumId w:val="26"/>
  </w:num>
  <w:num w:numId="25">
    <w:abstractNumId w:val="16"/>
  </w:num>
  <w:num w:numId="26">
    <w:abstractNumId w:val="27"/>
  </w:num>
  <w:num w:numId="27">
    <w:abstractNumId w:val="9"/>
  </w:num>
  <w:num w:numId="28">
    <w:abstractNumId w:val="28"/>
  </w:num>
  <w:num w:numId="29">
    <w:abstractNumId w:val="19"/>
  </w:num>
  <w:num w:numId="30">
    <w:abstractNumId w:val="20"/>
  </w:num>
  <w:num w:numId="31">
    <w:abstractNumId w:val="34"/>
  </w:num>
  <w:num w:numId="32">
    <w:abstractNumId w:val="12"/>
  </w:num>
  <w:num w:numId="33">
    <w:abstractNumId w:val="10"/>
  </w:num>
  <w:num w:numId="34">
    <w:abstractNumId w:val="35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F"/>
    <w:rsid w:val="0000382B"/>
    <w:rsid w:val="00005808"/>
    <w:rsid w:val="00005FAB"/>
    <w:rsid w:val="00011391"/>
    <w:rsid w:val="00015254"/>
    <w:rsid w:val="00017A14"/>
    <w:rsid w:val="0002026E"/>
    <w:rsid w:val="000207E2"/>
    <w:rsid w:val="00021962"/>
    <w:rsid w:val="0003066E"/>
    <w:rsid w:val="000313A7"/>
    <w:rsid w:val="00032608"/>
    <w:rsid w:val="00033F6C"/>
    <w:rsid w:val="00034683"/>
    <w:rsid w:val="00034C2E"/>
    <w:rsid w:val="00035FC2"/>
    <w:rsid w:val="000420C9"/>
    <w:rsid w:val="000439BB"/>
    <w:rsid w:val="00050BC4"/>
    <w:rsid w:val="00051DA6"/>
    <w:rsid w:val="000551F8"/>
    <w:rsid w:val="00056ADB"/>
    <w:rsid w:val="0006014B"/>
    <w:rsid w:val="00061E89"/>
    <w:rsid w:val="00064EF8"/>
    <w:rsid w:val="00070D88"/>
    <w:rsid w:val="000711A7"/>
    <w:rsid w:val="000733AD"/>
    <w:rsid w:val="00074399"/>
    <w:rsid w:val="000744D4"/>
    <w:rsid w:val="0008469D"/>
    <w:rsid w:val="00085C9F"/>
    <w:rsid w:val="00086F61"/>
    <w:rsid w:val="00091943"/>
    <w:rsid w:val="000A34A7"/>
    <w:rsid w:val="000A3D9D"/>
    <w:rsid w:val="000A48E2"/>
    <w:rsid w:val="000A5665"/>
    <w:rsid w:val="000A666E"/>
    <w:rsid w:val="000A7461"/>
    <w:rsid w:val="000B4A23"/>
    <w:rsid w:val="000B5741"/>
    <w:rsid w:val="000C07D6"/>
    <w:rsid w:val="000C4D36"/>
    <w:rsid w:val="000C5C87"/>
    <w:rsid w:val="000C600A"/>
    <w:rsid w:val="000D11ED"/>
    <w:rsid w:val="000D1D65"/>
    <w:rsid w:val="000D2760"/>
    <w:rsid w:val="000D3DBC"/>
    <w:rsid w:val="000D527D"/>
    <w:rsid w:val="000D64D5"/>
    <w:rsid w:val="000D6BF5"/>
    <w:rsid w:val="000D7F2A"/>
    <w:rsid w:val="000D7F9B"/>
    <w:rsid w:val="000E3898"/>
    <w:rsid w:val="000E3BA3"/>
    <w:rsid w:val="000E62CC"/>
    <w:rsid w:val="000F2895"/>
    <w:rsid w:val="000F2EE8"/>
    <w:rsid w:val="000F3386"/>
    <w:rsid w:val="000F4AF6"/>
    <w:rsid w:val="000F5725"/>
    <w:rsid w:val="000F5A40"/>
    <w:rsid w:val="000F66ED"/>
    <w:rsid w:val="00104264"/>
    <w:rsid w:val="001058C8"/>
    <w:rsid w:val="00105D4E"/>
    <w:rsid w:val="00106EC5"/>
    <w:rsid w:val="00107185"/>
    <w:rsid w:val="00110EC3"/>
    <w:rsid w:val="00113724"/>
    <w:rsid w:val="001149E8"/>
    <w:rsid w:val="001151E9"/>
    <w:rsid w:val="0011721C"/>
    <w:rsid w:val="001175E3"/>
    <w:rsid w:val="0012491C"/>
    <w:rsid w:val="00130711"/>
    <w:rsid w:val="00130B0B"/>
    <w:rsid w:val="001316DA"/>
    <w:rsid w:val="00132D0A"/>
    <w:rsid w:val="00132ED7"/>
    <w:rsid w:val="001365E0"/>
    <w:rsid w:val="0013700D"/>
    <w:rsid w:val="0014009E"/>
    <w:rsid w:val="001404CD"/>
    <w:rsid w:val="001406E7"/>
    <w:rsid w:val="00140AC6"/>
    <w:rsid w:val="00142749"/>
    <w:rsid w:val="0014310D"/>
    <w:rsid w:val="00144A8F"/>
    <w:rsid w:val="001506D6"/>
    <w:rsid w:val="001507B5"/>
    <w:rsid w:val="00150A63"/>
    <w:rsid w:val="00151797"/>
    <w:rsid w:val="00153383"/>
    <w:rsid w:val="00154E92"/>
    <w:rsid w:val="00155807"/>
    <w:rsid w:val="001564F0"/>
    <w:rsid w:val="001601B5"/>
    <w:rsid w:val="00163086"/>
    <w:rsid w:val="001636B2"/>
    <w:rsid w:val="001645EF"/>
    <w:rsid w:val="00166B2E"/>
    <w:rsid w:val="00170CEF"/>
    <w:rsid w:val="00171233"/>
    <w:rsid w:val="00172014"/>
    <w:rsid w:val="00172CA8"/>
    <w:rsid w:val="00172CA9"/>
    <w:rsid w:val="0017374F"/>
    <w:rsid w:val="00176637"/>
    <w:rsid w:val="00183BD1"/>
    <w:rsid w:val="00185E31"/>
    <w:rsid w:val="00186FFD"/>
    <w:rsid w:val="001914DC"/>
    <w:rsid w:val="00191E3C"/>
    <w:rsid w:val="00193591"/>
    <w:rsid w:val="00195078"/>
    <w:rsid w:val="001956F8"/>
    <w:rsid w:val="0019668D"/>
    <w:rsid w:val="001A0BC5"/>
    <w:rsid w:val="001A1321"/>
    <w:rsid w:val="001A247D"/>
    <w:rsid w:val="001A3988"/>
    <w:rsid w:val="001A4DF3"/>
    <w:rsid w:val="001A50A4"/>
    <w:rsid w:val="001A5D68"/>
    <w:rsid w:val="001A6083"/>
    <w:rsid w:val="001A6D8F"/>
    <w:rsid w:val="001B15DE"/>
    <w:rsid w:val="001B2451"/>
    <w:rsid w:val="001B4AFB"/>
    <w:rsid w:val="001B542B"/>
    <w:rsid w:val="001B6E25"/>
    <w:rsid w:val="001B72A2"/>
    <w:rsid w:val="001C0F27"/>
    <w:rsid w:val="001C1072"/>
    <w:rsid w:val="001C123C"/>
    <w:rsid w:val="001C40E2"/>
    <w:rsid w:val="001C5930"/>
    <w:rsid w:val="001C6044"/>
    <w:rsid w:val="001C6AD4"/>
    <w:rsid w:val="001C7B7E"/>
    <w:rsid w:val="001D0F8C"/>
    <w:rsid w:val="001D426F"/>
    <w:rsid w:val="001E33DB"/>
    <w:rsid w:val="001E523B"/>
    <w:rsid w:val="001E7B42"/>
    <w:rsid w:val="001F01CB"/>
    <w:rsid w:val="001F07AA"/>
    <w:rsid w:val="001F0D29"/>
    <w:rsid w:val="001F38BF"/>
    <w:rsid w:val="001F46C7"/>
    <w:rsid w:val="001F4DE9"/>
    <w:rsid w:val="001F5FFA"/>
    <w:rsid w:val="001F646C"/>
    <w:rsid w:val="001F6808"/>
    <w:rsid w:val="001F75B6"/>
    <w:rsid w:val="0020372A"/>
    <w:rsid w:val="002045E7"/>
    <w:rsid w:val="0020527F"/>
    <w:rsid w:val="00205382"/>
    <w:rsid w:val="00210B61"/>
    <w:rsid w:val="00211B55"/>
    <w:rsid w:val="00212BFB"/>
    <w:rsid w:val="0021434F"/>
    <w:rsid w:val="00215854"/>
    <w:rsid w:val="002206D0"/>
    <w:rsid w:val="00222BBD"/>
    <w:rsid w:val="00223B84"/>
    <w:rsid w:val="002244D4"/>
    <w:rsid w:val="00224C1D"/>
    <w:rsid w:val="00226D3F"/>
    <w:rsid w:val="002271BE"/>
    <w:rsid w:val="00230E84"/>
    <w:rsid w:val="00234B59"/>
    <w:rsid w:val="002371CD"/>
    <w:rsid w:val="00241432"/>
    <w:rsid w:val="00241B87"/>
    <w:rsid w:val="00244188"/>
    <w:rsid w:val="00244EBF"/>
    <w:rsid w:val="00245F13"/>
    <w:rsid w:val="002503FC"/>
    <w:rsid w:val="00253D24"/>
    <w:rsid w:val="0025415B"/>
    <w:rsid w:val="00256126"/>
    <w:rsid w:val="002578D9"/>
    <w:rsid w:val="00260FFA"/>
    <w:rsid w:val="002619FC"/>
    <w:rsid w:val="00263BAC"/>
    <w:rsid w:val="00267BE1"/>
    <w:rsid w:val="002718FD"/>
    <w:rsid w:val="00271B40"/>
    <w:rsid w:val="0027314F"/>
    <w:rsid w:val="002731BD"/>
    <w:rsid w:val="00274534"/>
    <w:rsid w:val="00276054"/>
    <w:rsid w:val="00276E33"/>
    <w:rsid w:val="0028293C"/>
    <w:rsid w:val="00282C89"/>
    <w:rsid w:val="002839FD"/>
    <w:rsid w:val="00286441"/>
    <w:rsid w:val="00287129"/>
    <w:rsid w:val="00287945"/>
    <w:rsid w:val="00291333"/>
    <w:rsid w:val="00295016"/>
    <w:rsid w:val="002A1773"/>
    <w:rsid w:val="002A47AF"/>
    <w:rsid w:val="002A5FE3"/>
    <w:rsid w:val="002B0656"/>
    <w:rsid w:val="002B6342"/>
    <w:rsid w:val="002B6DFB"/>
    <w:rsid w:val="002C10B6"/>
    <w:rsid w:val="002C2B03"/>
    <w:rsid w:val="002C373D"/>
    <w:rsid w:val="002C3E64"/>
    <w:rsid w:val="002C6E73"/>
    <w:rsid w:val="002D11DF"/>
    <w:rsid w:val="002D24DA"/>
    <w:rsid w:val="002D35B4"/>
    <w:rsid w:val="002D4141"/>
    <w:rsid w:val="002D5BDF"/>
    <w:rsid w:val="002E55F7"/>
    <w:rsid w:val="002E5DBB"/>
    <w:rsid w:val="002E5F3F"/>
    <w:rsid w:val="002E65B2"/>
    <w:rsid w:val="002E67E4"/>
    <w:rsid w:val="002E6E58"/>
    <w:rsid w:val="002F066C"/>
    <w:rsid w:val="002F55A8"/>
    <w:rsid w:val="002F5FB2"/>
    <w:rsid w:val="002F66AA"/>
    <w:rsid w:val="0030069D"/>
    <w:rsid w:val="003023D6"/>
    <w:rsid w:val="003148FA"/>
    <w:rsid w:val="00315127"/>
    <w:rsid w:val="003211B8"/>
    <w:rsid w:val="00322E9B"/>
    <w:rsid w:val="00327637"/>
    <w:rsid w:val="00327A37"/>
    <w:rsid w:val="00332916"/>
    <w:rsid w:val="0033411C"/>
    <w:rsid w:val="003369A6"/>
    <w:rsid w:val="00341588"/>
    <w:rsid w:val="00344C99"/>
    <w:rsid w:val="003451FA"/>
    <w:rsid w:val="00350E62"/>
    <w:rsid w:val="00351F82"/>
    <w:rsid w:val="00352B45"/>
    <w:rsid w:val="0035310C"/>
    <w:rsid w:val="0035373C"/>
    <w:rsid w:val="0035750B"/>
    <w:rsid w:val="00362C28"/>
    <w:rsid w:val="0036415B"/>
    <w:rsid w:val="00365B85"/>
    <w:rsid w:val="0036743C"/>
    <w:rsid w:val="003717CE"/>
    <w:rsid w:val="00376629"/>
    <w:rsid w:val="00377B60"/>
    <w:rsid w:val="00377DD6"/>
    <w:rsid w:val="00383007"/>
    <w:rsid w:val="003863F8"/>
    <w:rsid w:val="003905A7"/>
    <w:rsid w:val="00390D47"/>
    <w:rsid w:val="00392D57"/>
    <w:rsid w:val="00394C88"/>
    <w:rsid w:val="00394E0A"/>
    <w:rsid w:val="003A01CB"/>
    <w:rsid w:val="003A3803"/>
    <w:rsid w:val="003A4FCB"/>
    <w:rsid w:val="003A52B5"/>
    <w:rsid w:val="003A74A3"/>
    <w:rsid w:val="003B0A00"/>
    <w:rsid w:val="003B1D1F"/>
    <w:rsid w:val="003B230D"/>
    <w:rsid w:val="003B2920"/>
    <w:rsid w:val="003B2A09"/>
    <w:rsid w:val="003B3F3B"/>
    <w:rsid w:val="003B465C"/>
    <w:rsid w:val="003B55E9"/>
    <w:rsid w:val="003B7BFB"/>
    <w:rsid w:val="003C040E"/>
    <w:rsid w:val="003C1EB4"/>
    <w:rsid w:val="003C2174"/>
    <w:rsid w:val="003C3443"/>
    <w:rsid w:val="003C3D48"/>
    <w:rsid w:val="003C4277"/>
    <w:rsid w:val="003C6F72"/>
    <w:rsid w:val="003D04D6"/>
    <w:rsid w:val="003D6D98"/>
    <w:rsid w:val="003E45E8"/>
    <w:rsid w:val="003E5436"/>
    <w:rsid w:val="003E7739"/>
    <w:rsid w:val="003F03FA"/>
    <w:rsid w:val="003F06F7"/>
    <w:rsid w:val="003F1B3A"/>
    <w:rsid w:val="003F39D5"/>
    <w:rsid w:val="003F6117"/>
    <w:rsid w:val="004041A6"/>
    <w:rsid w:val="0040496D"/>
    <w:rsid w:val="00410284"/>
    <w:rsid w:val="004112D8"/>
    <w:rsid w:val="00412B3C"/>
    <w:rsid w:val="00412DD4"/>
    <w:rsid w:val="00412DFE"/>
    <w:rsid w:val="00414C5B"/>
    <w:rsid w:val="00415393"/>
    <w:rsid w:val="00416BAD"/>
    <w:rsid w:val="00420AD5"/>
    <w:rsid w:val="00422C71"/>
    <w:rsid w:val="004235A6"/>
    <w:rsid w:val="0042458C"/>
    <w:rsid w:val="004275EF"/>
    <w:rsid w:val="004301B7"/>
    <w:rsid w:val="00433FE1"/>
    <w:rsid w:val="00434060"/>
    <w:rsid w:val="0043414F"/>
    <w:rsid w:val="0043538B"/>
    <w:rsid w:val="00437750"/>
    <w:rsid w:val="00441A0F"/>
    <w:rsid w:val="004423F5"/>
    <w:rsid w:val="00447E64"/>
    <w:rsid w:val="00452AFB"/>
    <w:rsid w:val="004536C9"/>
    <w:rsid w:val="00455636"/>
    <w:rsid w:val="00456D11"/>
    <w:rsid w:val="00457B41"/>
    <w:rsid w:val="00457EA5"/>
    <w:rsid w:val="004629EA"/>
    <w:rsid w:val="00464A39"/>
    <w:rsid w:val="00466720"/>
    <w:rsid w:val="00470354"/>
    <w:rsid w:val="0047226A"/>
    <w:rsid w:val="00472B6D"/>
    <w:rsid w:val="00473093"/>
    <w:rsid w:val="0047348E"/>
    <w:rsid w:val="00473F7A"/>
    <w:rsid w:val="00475B86"/>
    <w:rsid w:val="00476B7E"/>
    <w:rsid w:val="00480432"/>
    <w:rsid w:val="00480BCA"/>
    <w:rsid w:val="004816AE"/>
    <w:rsid w:val="0048244E"/>
    <w:rsid w:val="00482745"/>
    <w:rsid w:val="00482B16"/>
    <w:rsid w:val="00483958"/>
    <w:rsid w:val="00484875"/>
    <w:rsid w:val="00487459"/>
    <w:rsid w:val="00487513"/>
    <w:rsid w:val="00490A00"/>
    <w:rsid w:val="00490EBD"/>
    <w:rsid w:val="00494B1E"/>
    <w:rsid w:val="00497922"/>
    <w:rsid w:val="004A0180"/>
    <w:rsid w:val="004A22FF"/>
    <w:rsid w:val="004A2A6E"/>
    <w:rsid w:val="004A4156"/>
    <w:rsid w:val="004A76FA"/>
    <w:rsid w:val="004A7EC9"/>
    <w:rsid w:val="004B1F9C"/>
    <w:rsid w:val="004B59F6"/>
    <w:rsid w:val="004B5B82"/>
    <w:rsid w:val="004B7F44"/>
    <w:rsid w:val="004C30FD"/>
    <w:rsid w:val="004C5643"/>
    <w:rsid w:val="004C6E42"/>
    <w:rsid w:val="004D2553"/>
    <w:rsid w:val="004D3876"/>
    <w:rsid w:val="004D3BDA"/>
    <w:rsid w:val="004D6A1F"/>
    <w:rsid w:val="004E0160"/>
    <w:rsid w:val="004E336A"/>
    <w:rsid w:val="004E382B"/>
    <w:rsid w:val="004E547E"/>
    <w:rsid w:val="004E58C1"/>
    <w:rsid w:val="004F0FE8"/>
    <w:rsid w:val="004F29BA"/>
    <w:rsid w:val="004F4CAD"/>
    <w:rsid w:val="004F4D24"/>
    <w:rsid w:val="004F56D1"/>
    <w:rsid w:val="004F730A"/>
    <w:rsid w:val="004F7A38"/>
    <w:rsid w:val="004F7B65"/>
    <w:rsid w:val="005005FD"/>
    <w:rsid w:val="00502E60"/>
    <w:rsid w:val="00504796"/>
    <w:rsid w:val="005060A1"/>
    <w:rsid w:val="00506194"/>
    <w:rsid w:val="00507226"/>
    <w:rsid w:val="00507484"/>
    <w:rsid w:val="00510524"/>
    <w:rsid w:val="0051216C"/>
    <w:rsid w:val="00512522"/>
    <w:rsid w:val="00513BFA"/>
    <w:rsid w:val="00514DA1"/>
    <w:rsid w:val="00517075"/>
    <w:rsid w:val="005171BA"/>
    <w:rsid w:val="005175A1"/>
    <w:rsid w:val="00520816"/>
    <w:rsid w:val="00522EAD"/>
    <w:rsid w:val="005238D9"/>
    <w:rsid w:val="00526F48"/>
    <w:rsid w:val="00527C50"/>
    <w:rsid w:val="00530AE3"/>
    <w:rsid w:val="00530B59"/>
    <w:rsid w:val="005312E1"/>
    <w:rsid w:val="005314EF"/>
    <w:rsid w:val="00537072"/>
    <w:rsid w:val="00537871"/>
    <w:rsid w:val="0054009F"/>
    <w:rsid w:val="00541AB5"/>
    <w:rsid w:val="0054279A"/>
    <w:rsid w:val="00542823"/>
    <w:rsid w:val="00544008"/>
    <w:rsid w:val="0055101F"/>
    <w:rsid w:val="00552684"/>
    <w:rsid w:val="00552AB0"/>
    <w:rsid w:val="005545FB"/>
    <w:rsid w:val="00555739"/>
    <w:rsid w:val="005578E5"/>
    <w:rsid w:val="00560E2C"/>
    <w:rsid w:val="005616DC"/>
    <w:rsid w:val="0056380E"/>
    <w:rsid w:val="00564FAF"/>
    <w:rsid w:val="00570F92"/>
    <w:rsid w:val="0057140E"/>
    <w:rsid w:val="00571F98"/>
    <w:rsid w:val="005732DF"/>
    <w:rsid w:val="00573D6E"/>
    <w:rsid w:val="005766EB"/>
    <w:rsid w:val="00577905"/>
    <w:rsid w:val="00582771"/>
    <w:rsid w:val="00583255"/>
    <w:rsid w:val="005868F4"/>
    <w:rsid w:val="005875FE"/>
    <w:rsid w:val="00587846"/>
    <w:rsid w:val="00593429"/>
    <w:rsid w:val="00593F06"/>
    <w:rsid w:val="00595E88"/>
    <w:rsid w:val="005A0916"/>
    <w:rsid w:val="005A099D"/>
    <w:rsid w:val="005A467A"/>
    <w:rsid w:val="005A483F"/>
    <w:rsid w:val="005A5CDF"/>
    <w:rsid w:val="005B075D"/>
    <w:rsid w:val="005B39BE"/>
    <w:rsid w:val="005B49A9"/>
    <w:rsid w:val="005B58A6"/>
    <w:rsid w:val="005B5F01"/>
    <w:rsid w:val="005B67C9"/>
    <w:rsid w:val="005B7AD2"/>
    <w:rsid w:val="005C0F03"/>
    <w:rsid w:val="005C21AD"/>
    <w:rsid w:val="005C2455"/>
    <w:rsid w:val="005C2466"/>
    <w:rsid w:val="005C3713"/>
    <w:rsid w:val="005C3C8D"/>
    <w:rsid w:val="005D0854"/>
    <w:rsid w:val="005D0F9C"/>
    <w:rsid w:val="005D1E3C"/>
    <w:rsid w:val="005D7F11"/>
    <w:rsid w:val="005E6F09"/>
    <w:rsid w:val="005F1AFC"/>
    <w:rsid w:val="005F37DC"/>
    <w:rsid w:val="005F59B8"/>
    <w:rsid w:val="005F73B6"/>
    <w:rsid w:val="005F7BCB"/>
    <w:rsid w:val="00602BC9"/>
    <w:rsid w:val="00602EE4"/>
    <w:rsid w:val="00604F90"/>
    <w:rsid w:val="00605135"/>
    <w:rsid w:val="006069EA"/>
    <w:rsid w:val="0060726C"/>
    <w:rsid w:val="00611F15"/>
    <w:rsid w:val="00614C04"/>
    <w:rsid w:val="0061606A"/>
    <w:rsid w:val="006165B8"/>
    <w:rsid w:val="00616747"/>
    <w:rsid w:val="006170DA"/>
    <w:rsid w:val="00620B0A"/>
    <w:rsid w:val="00621E9D"/>
    <w:rsid w:val="0062282D"/>
    <w:rsid w:val="00622B66"/>
    <w:rsid w:val="00624067"/>
    <w:rsid w:val="0062621A"/>
    <w:rsid w:val="00630BB9"/>
    <w:rsid w:val="00630C47"/>
    <w:rsid w:val="00634BFC"/>
    <w:rsid w:val="00635668"/>
    <w:rsid w:val="0063629D"/>
    <w:rsid w:val="00636FDA"/>
    <w:rsid w:val="00637C8C"/>
    <w:rsid w:val="00637E00"/>
    <w:rsid w:val="00643396"/>
    <w:rsid w:val="006504F6"/>
    <w:rsid w:val="00655A91"/>
    <w:rsid w:val="00657CF4"/>
    <w:rsid w:val="00660A73"/>
    <w:rsid w:val="006611B8"/>
    <w:rsid w:val="00661FD8"/>
    <w:rsid w:val="00663B2E"/>
    <w:rsid w:val="006651F0"/>
    <w:rsid w:val="0067078B"/>
    <w:rsid w:val="00671519"/>
    <w:rsid w:val="00674522"/>
    <w:rsid w:val="006807C9"/>
    <w:rsid w:val="00680BFA"/>
    <w:rsid w:val="00683206"/>
    <w:rsid w:val="006834DB"/>
    <w:rsid w:val="00683834"/>
    <w:rsid w:val="00686B2F"/>
    <w:rsid w:val="006901D0"/>
    <w:rsid w:val="006914A1"/>
    <w:rsid w:val="006916C1"/>
    <w:rsid w:val="00691D6B"/>
    <w:rsid w:val="00691EAF"/>
    <w:rsid w:val="00693730"/>
    <w:rsid w:val="00697536"/>
    <w:rsid w:val="006A2DC8"/>
    <w:rsid w:val="006A2E87"/>
    <w:rsid w:val="006A418A"/>
    <w:rsid w:val="006B1988"/>
    <w:rsid w:val="006B574B"/>
    <w:rsid w:val="006B5B9D"/>
    <w:rsid w:val="006B6390"/>
    <w:rsid w:val="006C3889"/>
    <w:rsid w:val="006C39A7"/>
    <w:rsid w:val="006C46D9"/>
    <w:rsid w:val="006C5D68"/>
    <w:rsid w:val="006C6A09"/>
    <w:rsid w:val="006C6FC2"/>
    <w:rsid w:val="006D07B3"/>
    <w:rsid w:val="006D3721"/>
    <w:rsid w:val="006D391B"/>
    <w:rsid w:val="006E030A"/>
    <w:rsid w:val="006E1301"/>
    <w:rsid w:val="006E2E59"/>
    <w:rsid w:val="006E4E4E"/>
    <w:rsid w:val="006E5BD6"/>
    <w:rsid w:val="006E6696"/>
    <w:rsid w:val="006E6BF6"/>
    <w:rsid w:val="006F045C"/>
    <w:rsid w:val="006F1278"/>
    <w:rsid w:val="006F4842"/>
    <w:rsid w:val="007005E6"/>
    <w:rsid w:val="00704086"/>
    <w:rsid w:val="0070476A"/>
    <w:rsid w:val="007061A3"/>
    <w:rsid w:val="00710D84"/>
    <w:rsid w:val="00712575"/>
    <w:rsid w:val="00712DC2"/>
    <w:rsid w:val="00713CDE"/>
    <w:rsid w:val="0072186C"/>
    <w:rsid w:val="007230D5"/>
    <w:rsid w:val="00723420"/>
    <w:rsid w:val="007366AA"/>
    <w:rsid w:val="0073749D"/>
    <w:rsid w:val="0073770B"/>
    <w:rsid w:val="00740EFA"/>
    <w:rsid w:val="00743473"/>
    <w:rsid w:val="00744213"/>
    <w:rsid w:val="00744ADF"/>
    <w:rsid w:val="00750465"/>
    <w:rsid w:val="00753064"/>
    <w:rsid w:val="00755D66"/>
    <w:rsid w:val="00756BE6"/>
    <w:rsid w:val="00763F56"/>
    <w:rsid w:val="00766318"/>
    <w:rsid w:val="007705D8"/>
    <w:rsid w:val="00771D5C"/>
    <w:rsid w:val="007721C0"/>
    <w:rsid w:val="00772DA0"/>
    <w:rsid w:val="007743F0"/>
    <w:rsid w:val="00775BD8"/>
    <w:rsid w:val="007761F8"/>
    <w:rsid w:val="007802FB"/>
    <w:rsid w:val="007805EB"/>
    <w:rsid w:val="00781DAF"/>
    <w:rsid w:val="00782D4C"/>
    <w:rsid w:val="0078546F"/>
    <w:rsid w:val="00792C9D"/>
    <w:rsid w:val="00793237"/>
    <w:rsid w:val="00793CB8"/>
    <w:rsid w:val="00794780"/>
    <w:rsid w:val="00796900"/>
    <w:rsid w:val="007A0DE0"/>
    <w:rsid w:val="007A4B50"/>
    <w:rsid w:val="007A5756"/>
    <w:rsid w:val="007A5937"/>
    <w:rsid w:val="007A617B"/>
    <w:rsid w:val="007A79C8"/>
    <w:rsid w:val="007B0C73"/>
    <w:rsid w:val="007B2FD6"/>
    <w:rsid w:val="007B3875"/>
    <w:rsid w:val="007B394A"/>
    <w:rsid w:val="007B62B2"/>
    <w:rsid w:val="007C3BA4"/>
    <w:rsid w:val="007C52BD"/>
    <w:rsid w:val="007C5312"/>
    <w:rsid w:val="007D2B70"/>
    <w:rsid w:val="007D3442"/>
    <w:rsid w:val="007D4B8D"/>
    <w:rsid w:val="007D7866"/>
    <w:rsid w:val="007D7ADA"/>
    <w:rsid w:val="007E118B"/>
    <w:rsid w:val="007E2992"/>
    <w:rsid w:val="007E40CD"/>
    <w:rsid w:val="007E74BB"/>
    <w:rsid w:val="007E7D5D"/>
    <w:rsid w:val="007F0D69"/>
    <w:rsid w:val="007F50B5"/>
    <w:rsid w:val="007F6459"/>
    <w:rsid w:val="00803A2B"/>
    <w:rsid w:val="00803AF0"/>
    <w:rsid w:val="00804B13"/>
    <w:rsid w:val="00811213"/>
    <w:rsid w:val="0081158D"/>
    <w:rsid w:val="00811A66"/>
    <w:rsid w:val="008151B0"/>
    <w:rsid w:val="00815637"/>
    <w:rsid w:val="00817C16"/>
    <w:rsid w:val="0082371F"/>
    <w:rsid w:val="00826837"/>
    <w:rsid w:val="00826880"/>
    <w:rsid w:val="008274E2"/>
    <w:rsid w:val="008335B6"/>
    <w:rsid w:val="00833C96"/>
    <w:rsid w:val="00834979"/>
    <w:rsid w:val="00834D4F"/>
    <w:rsid w:val="00836D23"/>
    <w:rsid w:val="00837F35"/>
    <w:rsid w:val="00840667"/>
    <w:rsid w:val="00841570"/>
    <w:rsid w:val="0084188B"/>
    <w:rsid w:val="00844A0C"/>
    <w:rsid w:val="00844D09"/>
    <w:rsid w:val="00844F57"/>
    <w:rsid w:val="00845209"/>
    <w:rsid w:val="008467DD"/>
    <w:rsid w:val="00847000"/>
    <w:rsid w:val="008500B3"/>
    <w:rsid w:val="008518C7"/>
    <w:rsid w:val="008531A2"/>
    <w:rsid w:val="008543E4"/>
    <w:rsid w:val="00856F9A"/>
    <w:rsid w:val="008603F9"/>
    <w:rsid w:val="00860712"/>
    <w:rsid w:val="00862704"/>
    <w:rsid w:val="00863303"/>
    <w:rsid w:val="00865E3B"/>
    <w:rsid w:val="008707CF"/>
    <w:rsid w:val="008722AA"/>
    <w:rsid w:val="008751CC"/>
    <w:rsid w:val="008752FB"/>
    <w:rsid w:val="00875F7C"/>
    <w:rsid w:val="008817CF"/>
    <w:rsid w:val="008817DC"/>
    <w:rsid w:val="00884659"/>
    <w:rsid w:val="00893D14"/>
    <w:rsid w:val="00895C12"/>
    <w:rsid w:val="00895E28"/>
    <w:rsid w:val="0089611B"/>
    <w:rsid w:val="008A00CC"/>
    <w:rsid w:val="008A0EA1"/>
    <w:rsid w:val="008A279E"/>
    <w:rsid w:val="008A34A2"/>
    <w:rsid w:val="008B03B5"/>
    <w:rsid w:val="008B3B28"/>
    <w:rsid w:val="008B6791"/>
    <w:rsid w:val="008B6BA3"/>
    <w:rsid w:val="008B6C86"/>
    <w:rsid w:val="008C0064"/>
    <w:rsid w:val="008C04A9"/>
    <w:rsid w:val="008C1224"/>
    <w:rsid w:val="008C3E1F"/>
    <w:rsid w:val="008D03D7"/>
    <w:rsid w:val="008D1C38"/>
    <w:rsid w:val="008D4099"/>
    <w:rsid w:val="008D417E"/>
    <w:rsid w:val="008D4607"/>
    <w:rsid w:val="008D5057"/>
    <w:rsid w:val="008D6A80"/>
    <w:rsid w:val="008D6FAA"/>
    <w:rsid w:val="008D704A"/>
    <w:rsid w:val="008D7ECC"/>
    <w:rsid w:val="008E0616"/>
    <w:rsid w:val="008E2F3C"/>
    <w:rsid w:val="008E38E7"/>
    <w:rsid w:val="008E3B63"/>
    <w:rsid w:val="008E5475"/>
    <w:rsid w:val="008E6777"/>
    <w:rsid w:val="008E719B"/>
    <w:rsid w:val="008E7F87"/>
    <w:rsid w:val="008F0078"/>
    <w:rsid w:val="008F1568"/>
    <w:rsid w:val="008F3675"/>
    <w:rsid w:val="008F3ACD"/>
    <w:rsid w:val="008F4F2F"/>
    <w:rsid w:val="00904880"/>
    <w:rsid w:val="00905643"/>
    <w:rsid w:val="009056A0"/>
    <w:rsid w:val="009100DC"/>
    <w:rsid w:val="009125F2"/>
    <w:rsid w:val="00914095"/>
    <w:rsid w:val="00914F53"/>
    <w:rsid w:val="00915172"/>
    <w:rsid w:val="0092018B"/>
    <w:rsid w:val="009201CB"/>
    <w:rsid w:val="00920D78"/>
    <w:rsid w:val="00920F97"/>
    <w:rsid w:val="00921A4F"/>
    <w:rsid w:val="00922526"/>
    <w:rsid w:val="00922984"/>
    <w:rsid w:val="00922A0D"/>
    <w:rsid w:val="00926816"/>
    <w:rsid w:val="00933AC2"/>
    <w:rsid w:val="00934CAE"/>
    <w:rsid w:val="00936D82"/>
    <w:rsid w:val="00940EB7"/>
    <w:rsid w:val="00942770"/>
    <w:rsid w:val="0094293D"/>
    <w:rsid w:val="00942AFA"/>
    <w:rsid w:val="00945454"/>
    <w:rsid w:val="00947A0E"/>
    <w:rsid w:val="00951C9C"/>
    <w:rsid w:val="00955493"/>
    <w:rsid w:val="0095605C"/>
    <w:rsid w:val="009569E4"/>
    <w:rsid w:val="00956DC1"/>
    <w:rsid w:val="0096006F"/>
    <w:rsid w:val="00960366"/>
    <w:rsid w:val="00960A26"/>
    <w:rsid w:val="00960CC0"/>
    <w:rsid w:val="00963D62"/>
    <w:rsid w:val="00964175"/>
    <w:rsid w:val="00966360"/>
    <w:rsid w:val="00967022"/>
    <w:rsid w:val="0096768E"/>
    <w:rsid w:val="00970D6B"/>
    <w:rsid w:val="00973096"/>
    <w:rsid w:val="00973E14"/>
    <w:rsid w:val="00976032"/>
    <w:rsid w:val="00976BEF"/>
    <w:rsid w:val="00984056"/>
    <w:rsid w:val="0098481E"/>
    <w:rsid w:val="00991AF0"/>
    <w:rsid w:val="00992915"/>
    <w:rsid w:val="009931D4"/>
    <w:rsid w:val="00995A96"/>
    <w:rsid w:val="009A0EBA"/>
    <w:rsid w:val="009A57EB"/>
    <w:rsid w:val="009A7910"/>
    <w:rsid w:val="009B12D3"/>
    <w:rsid w:val="009B1A48"/>
    <w:rsid w:val="009B25A1"/>
    <w:rsid w:val="009B3AB2"/>
    <w:rsid w:val="009B51ED"/>
    <w:rsid w:val="009C093D"/>
    <w:rsid w:val="009C0F5D"/>
    <w:rsid w:val="009C1EDB"/>
    <w:rsid w:val="009C24D9"/>
    <w:rsid w:val="009C2C2D"/>
    <w:rsid w:val="009C4456"/>
    <w:rsid w:val="009D06FB"/>
    <w:rsid w:val="009D1CE2"/>
    <w:rsid w:val="009D2602"/>
    <w:rsid w:val="009D6EDA"/>
    <w:rsid w:val="009E1201"/>
    <w:rsid w:val="009E3FD2"/>
    <w:rsid w:val="009E510D"/>
    <w:rsid w:val="009E7D96"/>
    <w:rsid w:val="009F0BC2"/>
    <w:rsid w:val="009F2572"/>
    <w:rsid w:val="009F3986"/>
    <w:rsid w:val="009F7D0E"/>
    <w:rsid w:val="00A00673"/>
    <w:rsid w:val="00A02752"/>
    <w:rsid w:val="00A03370"/>
    <w:rsid w:val="00A06100"/>
    <w:rsid w:val="00A07306"/>
    <w:rsid w:val="00A114CA"/>
    <w:rsid w:val="00A12639"/>
    <w:rsid w:val="00A15D7D"/>
    <w:rsid w:val="00A2009C"/>
    <w:rsid w:val="00A211E4"/>
    <w:rsid w:val="00A225E7"/>
    <w:rsid w:val="00A2267F"/>
    <w:rsid w:val="00A22F4C"/>
    <w:rsid w:val="00A22FB1"/>
    <w:rsid w:val="00A2504E"/>
    <w:rsid w:val="00A25AFC"/>
    <w:rsid w:val="00A25D15"/>
    <w:rsid w:val="00A274BD"/>
    <w:rsid w:val="00A32229"/>
    <w:rsid w:val="00A3317B"/>
    <w:rsid w:val="00A34922"/>
    <w:rsid w:val="00A34F31"/>
    <w:rsid w:val="00A3520F"/>
    <w:rsid w:val="00A36469"/>
    <w:rsid w:val="00A36CC2"/>
    <w:rsid w:val="00A37988"/>
    <w:rsid w:val="00A37EE9"/>
    <w:rsid w:val="00A403F3"/>
    <w:rsid w:val="00A41813"/>
    <w:rsid w:val="00A43989"/>
    <w:rsid w:val="00A444CC"/>
    <w:rsid w:val="00A44A3E"/>
    <w:rsid w:val="00A45AF5"/>
    <w:rsid w:val="00A50F36"/>
    <w:rsid w:val="00A51AEC"/>
    <w:rsid w:val="00A51B0B"/>
    <w:rsid w:val="00A51F67"/>
    <w:rsid w:val="00A54411"/>
    <w:rsid w:val="00A54996"/>
    <w:rsid w:val="00A5753C"/>
    <w:rsid w:val="00A62F8D"/>
    <w:rsid w:val="00A6376C"/>
    <w:rsid w:val="00A65E0B"/>
    <w:rsid w:val="00A65F29"/>
    <w:rsid w:val="00A705C9"/>
    <w:rsid w:val="00A71333"/>
    <w:rsid w:val="00A73135"/>
    <w:rsid w:val="00A73C4C"/>
    <w:rsid w:val="00A74573"/>
    <w:rsid w:val="00A74DA1"/>
    <w:rsid w:val="00A769FB"/>
    <w:rsid w:val="00A77BE3"/>
    <w:rsid w:val="00A8018A"/>
    <w:rsid w:val="00AA24CD"/>
    <w:rsid w:val="00AA6A69"/>
    <w:rsid w:val="00AA6BAB"/>
    <w:rsid w:val="00AB0C13"/>
    <w:rsid w:val="00AB3EAF"/>
    <w:rsid w:val="00AB4B6B"/>
    <w:rsid w:val="00AC08A7"/>
    <w:rsid w:val="00AC2CF6"/>
    <w:rsid w:val="00AC2D37"/>
    <w:rsid w:val="00AC4595"/>
    <w:rsid w:val="00AC5F93"/>
    <w:rsid w:val="00AD2F45"/>
    <w:rsid w:val="00AD59C4"/>
    <w:rsid w:val="00AE031E"/>
    <w:rsid w:val="00AE291B"/>
    <w:rsid w:val="00AE45C7"/>
    <w:rsid w:val="00AE73B1"/>
    <w:rsid w:val="00AE771D"/>
    <w:rsid w:val="00AF0786"/>
    <w:rsid w:val="00AF1344"/>
    <w:rsid w:val="00AF1698"/>
    <w:rsid w:val="00AF405F"/>
    <w:rsid w:val="00AF44B0"/>
    <w:rsid w:val="00AF5080"/>
    <w:rsid w:val="00AF5E87"/>
    <w:rsid w:val="00AF786E"/>
    <w:rsid w:val="00B0023B"/>
    <w:rsid w:val="00B00EC5"/>
    <w:rsid w:val="00B0245C"/>
    <w:rsid w:val="00B06129"/>
    <w:rsid w:val="00B112EE"/>
    <w:rsid w:val="00B119C3"/>
    <w:rsid w:val="00B11F16"/>
    <w:rsid w:val="00B13084"/>
    <w:rsid w:val="00B138B5"/>
    <w:rsid w:val="00B143EA"/>
    <w:rsid w:val="00B14A28"/>
    <w:rsid w:val="00B15CC4"/>
    <w:rsid w:val="00B15E31"/>
    <w:rsid w:val="00B16FD0"/>
    <w:rsid w:val="00B203E7"/>
    <w:rsid w:val="00B23D8C"/>
    <w:rsid w:val="00B24130"/>
    <w:rsid w:val="00B2542C"/>
    <w:rsid w:val="00B263E8"/>
    <w:rsid w:val="00B30003"/>
    <w:rsid w:val="00B30060"/>
    <w:rsid w:val="00B300D1"/>
    <w:rsid w:val="00B3360C"/>
    <w:rsid w:val="00B35A92"/>
    <w:rsid w:val="00B400EE"/>
    <w:rsid w:val="00B44C6B"/>
    <w:rsid w:val="00B456E1"/>
    <w:rsid w:val="00B45923"/>
    <w:rsid w:val="00B46803"/>
    <w:rsid w:val="00B50104"/>
    <w:rsid w:val="00B50BF6"/>
    <w:rsid w:val="00B5735C"/>
    <w:rsid w:val="00B6087F"/>
    <w:rsid w:val="00B61A20"/>
    <w:rsid w:val="00B627FD"/>
    <w:rsid w:val="00B62FDF"/>
    <w:rsid w:val="00B639A2"/>
    <w:rsid w:val="00B642F3"/>
    <w:rsid w:val="00B64744"/>
    <w:rsid w:val="00B66273"/>
    <w:rsid w:val="00B67352"/>
    <w:rsid w:val="00B77B55"/>
    <w:rsid w:val="00B854D9"/>
    <w:rsid w:val="00B86AD6"/>
    <w:rsid w:val="00B91CA5"/>
    <w:rsid w:val="00B935B3"/>
    <w:rsid w:val="00B94F6E"/>
    <w:rsid w:val="00B95A4D"/>
    <w:rsid w:val="00B97878"/>
    <w:rsid w:val="00BA0BA2"/>
    <w:rsid w:val="00BA118F"/>
    <w:rsid w:val="00BA28F4"/>
    <w:rsid w:val="00BA6681"/>
    <w:rsid w:val="00BB23FE"/>
    <w:rsid w:val="00BB290B"/>
    <w:rsid w:val="00BB373C"/>
    <w:rsid w:val="00BB3B58"/>
    <w:rsid w:val="00BB4593"/>
    <w:rsid w:val="00BB53CF"/>
    <w:rsid w:val="00BB638C"/>
    <w:rsid w:val="00BC0E2A"/>
    <w:rsid w:val="00BC1C98"/>
    <w:rsid w:val="00BC214E"/>
    <w:rsid w:val="00BC2F49"/>
    <w:rsid w:val="00BC7348"/>
    <w:rsid w:val="00BD0B19"/>
    <w:rsid w:val="00BD0F9E"/>
    <w:rsid w:val="00BD3707"/>
    <w:rsid w:val="00BE1B07"/>
    <w:rsid w:val="00BE1C30"/>
    <w:rsid w:val="00BF1496"/>
    <w:rsid w:val="00BF289D"/>
    <w:rsid w:val="00BF2FF2"/>
    <w:rsid w:val="00BF33E8"/>
    <w:rsid w:val="00BF43D9"/>
    <w:rsid w:val="00C004E1"/>
    <w:rsid w:val="00C02B69"/>
    <w:rsid w:val="00C0349D"/>
    <w:rsid w:val="00C046C3"/>
    <w:rsid w:val="00C04DE9"/>
    <w:rsid w:val="00C07767"/>
    <w:rsid w:val="00C10FDA"/>
    <w:rsid w:val="00C120F9"/>
    <w:rsid w:val="00C12C42"/>
    <w:rsid w:val="00C1342F"/>
    <w:rsid w:val="00C13D7B"/>
    <w:rsid w:val="00C157C0"/>
    <w:rsid w:val="00C2096A"/>
    <w:rsid w:val="00C22BFA"/>
    <w:rsid w:val="00C3083C"/>
    <w:rsid w:val="00C31C70"/>
    <w:rsid w:val="00C33972"/>
    <w:rsid w:val="00C34301"/>
    <w:rsid w:val="00C349D2"/>
    <w:rsid w:val="00C36730"/>
    <w:rsid w:val="00C369AA"/>
    <w:rsid w:val="00C369EA"/>
    <w:rsid w:val="00C4408A"/>
    <w:rsid w:val="00C44390"/>
    <w:rsid w:val="00C50E30"/>
    <w:rsid w:val="00C50EDF"/>
    <w:rsid w:val="00C510F2"/>
    <w:rsid w:val="00C52535"/>
    <w:rsid w:val="00C52794"/>
    <w:rsid w:val="00C5384D"/>
    <w:rsid w:val="00C53B50"/>
    <w:rsid w:val="00C540A5"/>
    <w:rsid w:val="00C54397"/>
    <w:rsid w:val="00C61696"/>
    <w:rsid w:val="00C61DE7"/>
    <w:rsid w:val="00C61FC7"/>
    <w:rsid w:val="00C66325"/>
    <w:rsid w:val="00C66F99"/>
    <w:rsid w:val="00C722E4"/>
    <w:rsid w:val="00C74A81"/>
    <w:rsid w:val="00C74B4A"/>
    <w:rsid w:val="00C75DDB"/>
    <w:rsid w:val="00C81197"/>
    <w:rsid w:val="00C82523"/>
    <w:rsid w:val="00C85676"/>
    <w:rsid w:val="00C95D0D"/>
    <w:rsid w:val="00CA2203"/>
    <w:rsid w:val="00CA23DE"/>
    <w:rsid w:val="00CA2980"/>
    <w:rsid w:val="00CA4394"/>
    <w:rsid w:val="00CA6F8E"/>
    <w:rsid w:val="00CC0DAB"/>
    <w:rsid w:val="00CC1B0A"/>
    <w:rsid w:val="00CC667A"/>
    <w:rsid w:val="00CC75B6"/>
    <w:rsid w:val="00CC7B37"/>
    <w:rsid w:val="00CC7F08"/>
    <w:rsid w:val="00CD0468"/>
    <w:rsid w:val="00CD08D6"/>
    <w:rsid w:val="00CD48A4"/>
    <w:rsid w:val="00CD5AF9"/>
    <w:rsid w:val="00CD5D02"/>
    <w:rsid w:val="00CE01D4"/>
    <w:rsid w:val="00CE0328"/>
    <w:rsid w:val="00CE0ED8"/>
    <w:rsid w:val="00CE2C58"/>
    <w:rsid w:val="00CE6B1E"/>
    <w:rsid w:val="00CE6FEE"/>
    <w:rsid w:val="00CF1939"/>
    <w:rsid w:val="00CF1C49"/>
    <w:rsid w:val="00CF2998"/>
    <w:rsid w:val="00CF4B15"/>
    <w:rsid w:val="00D01D9E"/>
    <w:rsid w:val="00D01E2D"/>
    <w:rsid w:val="00D01F73"/>
    <w:rsid w:val="00D02299"/>
    <w:rsid w:val="00D02EC7"/>
    <w:rsid w:val="00D03D15"/>
    <w:rsid w:val="00D04340"/>
    <w:rsid w:val="00D0618D"/>
    <w:rsid w:val="00D11EF1"/>
    <w:rsid w:val="00D13446"/>
    <w:rsid w:val="00D14098"/>
    <w:rsid w:val="00D15F35"/>
    <w:rsid w:val="00D20A28"/>
    <w:rsid w:val="00D23FB1"/>
    <w:rsid w:val="00D24AD1"/>
    <w:rsid w:val="00D24E61"/>
    <w:rsid w:val="00D27971"/>
    <w:rsid w:val="00D32E40"/>
    <w:rsid w:val="00D33E15"/>
    <w:rsid w:val="00D3493D"/>
    <w:rsid w:val="00D36354"/>
    <w:rsid w:val="00D36A90"/>
    <w:rsid w:val="00D40BDD"/>
    <w:rsid w:val="00D4162A"/>
    <w:rsid w:val="00D41952"/>
    <w:rsid w:val="00D41D10"/>
    <w:rsid w:val="00D41FBD"/>
    <w:rsid w:val="00D4203F"/>
    <w:rsid w:val="00D4321E"/>
    <w:rsid w:val="00D435E5"/>
    <w:rsid w:val="00D45921"/>
    <w:rsid w:val="00D459A9"/>
    <w:rsid w:val="00D4760B"/>
    <w:rsid w:val="00D52A16"/>
    <w:rsid w:val="00D54AB2"/>
    <w:rsid w:val="00D6272F"/>
    <w:rsid w:val="00D63BF5"/>
    <w:rsid w:val="00D707AA"/>
    <w:rsid w:val="00D7286D"/>
    <w:rsid w:val="00D72EC2"/>
    <w:rsid w:val="00D759B7"/>
    <w:rsid w:val="00D776A3"/>
    <w:rsid w:val="00D836A3"/>
    <w:rsid w:val="00D91810"/>
    <w:rsid w:val="00D9337F"/>
    <w:rsid w:val="00D9437C"/>
    <w:rsid w:val="00DA0F92"/>
    <w:rsid w:val="00DA14DD"/>
    <w:rsid w:val="00DA22D7"/>
    <w:rsid w:val="00DA2599"/>
    <w:rsid w:val="00DA538C"/>
    <w:rsid w:val="00DB1DFC"/>
    <w:rsid w:val="00DB29C5"/>
    <w:rsid w:val="00DB487A"/>
    <w:rsid w:val="00DC1B12"/>
    <w:rsid w:val="00DC6301"/>
    <w:rsid w:val="00DC67F9"/>
    <w:rsid w:val="00DD2537"/>
    <w:rsid w:val="00DD7652"/>
    <w:rsid w:val="00DE3424"/>
    <w:rsid w:val="00DE4F7F"/>
    <w:rsid w:val="00DE56E6"/>
    <w:rsid w:val="00DE5A94"/>
    <w:rsid w:val="00DE687F"/>
    <w:rsid w:val="00DF2EB6"/>
    <w:rsid w:val="00DF4952"/>
    <w:rsid w:val="00DF589B"/>
    <w:rsid w:val="00E00DB2"/>
    <w:rsid w:val="00E01897"/>
    <w:rsid w:val="00E131E4"/>
    <w:rsid w:val="00E163B0"/>
    <w:rsid w:val="00E16636"/>
    <w:rsid w:val="00E17E13"/>
    <w:rsid w:val="00E203EC"/>
    <w:rsid w:val="00E2263B"/>
    <w:rsid w:val="00E2341A"/>
    <w:rsid w:val="00E24513"/>
    <w:rsid w:val="00E406BA"/>
    <w:rsid w:val="00E4240C"/>
    <w:rsid w:val="00E465AD"/>
    <w:rsid w:val="00E4683A"/>
    <w:rsid w:val="00E51EC2"/>
    <w:rsid w:val="00E54578"/>
    <w:rsid w:val="00E55ABF"/>
    <w:rsid w:val="00E5684D"/>
    <w:rsid w:val="00E6090C"/>
    <w:rsid w:val="00E60EEA"/>
    <w:rsid w:val="00E62AEF"/>
    <w:rsid w:val="00E63510"/>
    <w:rsid w:val="00E6450B"/>
    <w:rsid w:val="00E65547"/>
    <w:rsid w:val="00E65B57"/>
    <w:rsid w:val="00E669C6"/>
    <w:rsid w:val="00E67D08"/>
    <w:rsid w:val="00E70312"/>
    <w:rsid w:val="00E712DF"/>
    <w:rsid w:val="00E71527"/>
    <w:rsid w:val="00E7401A"/>
    <w:rsid w:val="00E748E4"/>
    <w:rsid w:val="00E75084"/>
    <w:rsid w:val="00E80982"/>
    <w:rsid w:val="00E8164C"/>
    <w:rsid w:val="00E846FB"/>
    <w:rsid w:val="00E86D4D"/>
    <w:rsid w:val="00E86EE2"/>
    <w:rsid w:val="00E87517"/>
    <w:rsid w:val="00E91F64"/>
    <w:rsid w:val="00E93AF5"/>
    <w:rsid w:val="00E95B06"/>
    <w:rsid w:val="00E971C7"/>
    <w:rsid w:val="00E97B66"/>
    <w:rsid w:val="00EA3099"/>
    <w:rsid w:val="00EA3ECC"/>
    <w:rsid w:val="00EA4B5A"/>
    <w:rsid w:val="00EA57F6"/>
    <w:rsid w:val="00EA7D03"/>
    <w:rsid w:val="00EB20E4"/>
    <w:rsid w:val="00EB29D9"/>
    <w:rsid w:val="00EB3AB8"/>
    <w:rsid w:val="00EB50B0"/>
    <w:rsid w:val="00EB56E2"/>
    <w:rsid w:val="00EB6768"/>
    <w:rsid w:val="00EB6A5D"/>
    <w:rsid w:val="00EB6CA4"/>
    <w:rsid w:val="00EB7271"/>
    <w:rsid w:val="00EC1423"/>
    <w:rsid w:val="00EC49F5"/>
    <w:rsid w:val="00EC6F07"/>
    <w:rsid w:val="00EC6F33"/>
    <w:rsid w:val="00EC7045"/>
    <w:rsid w:val="00ED0418"/>
    <w:rsid w:val="00ED2C68"/>
    <w:rsid w:val="00ED4793"/>
    <w:rsid w:val="00EE2BCA"/>
    <w:rsid w:val="00EE2C18"/>
    <w:rsid w:val="00EE399C"/>
    <w:rsid w:val="00EE7632"/>
    <w:rsid w:val="00EE7E55"/>
    <w:rsid w:val="00EF05BA"/>
    <w:rsid w:val="00EF19D4"/>
    <w:rsid w:val="00EF2944"/>
    <w:rsid w:val="00EF60DE"/>
    <w:rsid w:val="00EF66C7"/>
    <w:rsid w:val="00F00FA2"/>
    <w:rsid w:val="00F0317E"/>
    <w:rsid w:val="00F031E2"/>
    <w:rsid w:val="00F0439E"/>
    <w:rsid w:val="00F04C44"/>
    <w:rsid w:val="00F04ECF"/>
    <w:rsid w:val="00F050FE"/>
    <w:rsid w:val="00F05309"/>
    <w:rsid w:val="00F05CD9"/>
    <w:rsid w:val="00F07ADE"/>
    <w:rsid w:val="00F07F8D"/>
    <w:rsid w:val="00F12B13"/>
    <w:rsid w:val="00F140D5"/>
    <w:rsid w:val="00F14FD9"/>
    <w:rsid w:val="00F15B01"/>
    <w:rsid w:val="00F16113"/>
    <w:rsid w:val="00F16BD5"/>
    <w:rsid w:val="00F20DC5"/>
    <w:rsid w:val="00F21C66"/>
    <w:rsid w:val="00F24094"/>
    <w:rsid w:val="00F255F7"/>
    <w:rsid w:val="00F26110"/>
    <w:rsid w:val="00F34130"/>
    <w:rsid w:val="00F35376"/>
    <w:rsid w:val="00F423EB"/>
    <w:rsid w:val="00F46689"/>
    <w:rsid w:val="00F50EED"/>
    <w:rsid w:val="00F50F8B"/>
    <w:rsid w:val="00F54757"/>
    <w:rsid w:val="00F555AE"/>
    <w:rsid w:val="00F60384"/>
    <w:rsid w:val="00F6054B"/>
    <w:rsid w:val="00F60A16"/>
    <w:rsid w:val="00F60FF4"/>
    <w:rsid w:val="00F61482"/>
    <w:rsid w:val="00F6175A"/>
    <w:rsid w:val="00F70FE0"/>
    <w:rsid w:val="00F7312C"/>
    <w:rsid w:val="00F748E6"/>
    <w:rsid w:val="00F74FFC"/>
    <w:rsid w:val="00F778A6"/>
    <w:rsid w:val="00F77A21"/>
    <w:rsid w:val="00F81437"/>
    <w:rsid w:val="00F81554"/>
    <w:rsid w:val="00F8205E"/>
    <w:rsid w:val="00F82291"/>
    <w:rsid w:val="00F8515A"/>
    <w:rsid w:val="00F93DFE"/>
    <w:rsid w:val="00F95528"/>
    <w:rsid w:val="00F95E30"/>
    <w:rsid w:val="00F96ECE"/>
    <w:rsid w:val="00F979FD"/>
    <w:rsid w:val="00F97CDD"/>
    <w:rsid w:val="00FA2179"/>
    <w:rsid w:val="00FA2FDF"/>
    <w:rsid w:val="00FA3498"/>
    <w:rsid w:val="00FA3A2A"/>
    <w:rsid w:val="00FA4F25"/>
    <w:rsid w:val="00FA5245"/>
    <w:rsid w:val="00FB2DF5"/>
    <w:rsid w:val="00FB361E"/>
    <w:rsid w:val="00FC09C4"/>
    <w:rsid w:val="00FC14CF"/>
    <w:rsid w:val="00FC485F"/>
    <w:rsid w:val="00FC599E"/>
    <w:rsid w:val="00FD00B6"/>
    <w:rsid w:val="00FD146C"/>
    <w:rsid w:val="00FD19E8"/>
    <w:rsid w:val="00FD4D38"/>
    <w:rsid w:val="00FD4D4B"/>
    <w:rsid w:val="00FE0721"/>
    <w:rsid w:val="00FE0A23"/>
    <w:rsid w:val="00FE2423"/>
    <w:rsid w:val="00FE282D"/>
    <w:rsid w:val="00FE37E3"/>
    <w:rsid w:val="00FE4EEA"/>
    <w:rsid w:val="00FE64F5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ACEC5FA-E702-4A6F-B203-2D96FA8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2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03D7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18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28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D03D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7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7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181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C7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Cell">
    <w:name w:val="ConsPlusCell"/>
    <w:uiPriority w:val="99"/>
    <w:rsid w:val="008707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B61A20"/>
    <w:rPr>
      <w:b/>
      <w:bCs/>
    </w:rPr>
  </w:style>
  <w:style w:type="table" w:styleId="a4">
    <w:name w:val="Table Grid"/>
    <w:basedOn w:val="a1"/>
    <w:uiPriority w:val="59"/>
    <w:rsid w:val="0092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312C"/>
    <w:pPr>
      <w:ind w:left="720"/>
      <w:contextualSpacing/>
    </w:pPr>
  </w:style>
  <w:style w:type="paragraph" w:customStyle="1" w:styleId="Default">
    <w:name w:val="Default"/>
    <w:rsid w:val="007D4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rsid w:val="00390D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90D4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112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52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1F"/>
  </w:style>
  <w:style w:type="paragraph" w:styleId="a8">
    <w:name w:val="footer"/>
    <w:basedOn w:val="a"/>
    <w:link w:val="a9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1F"/>
  </w:style>
  <w:style w:type="paragraph" w:styleId="aa">
    <w:name w:val="Body Text"/>
    <w:basedOn w:val="a"/>
    <w:link w:val="ab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2186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2186C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05F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05FAB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6E4E4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</w:rPr>
  </w:style>
  <w:style w:type="character" w:customStyle="1" w:styleId="34">
    <w:name w:val="Основной текст 3 Знак"/>
    <w:basedOn w:val="a0"/>
    <w:link w:val="33"/>
    <w:uiPriority w:val="99"/>
    <w:rsid w:val="006E4E4E"/>
    <w:rPr>
      <w:rFonts w:ascii="Times New Roman" w:hAnsi="Times New Roman" w:cs="Times New Roman"/>
      <w:bCs/>
    </w:rPr>
  </w:style>
  <w:style w:type="paragraph" w:customStyle="1" w:styleId="ConsPlusNormal">
    <w:name w:val="ConsPlusNormal"/>
    <w:uiPriority w:val="99"/>
    <w:rsid w:val="00362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1C7B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1C7B7E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8C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4A9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1"/>
    <w:rsid w:val="008C04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rsid w:val="008C04A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РћСЃРЅРѕРІРЅРѕР№ С‚РµРєСЃС‚"/>
    <w:basedOn w:val="a"/>
    <w:uiPriority w:val="99"/>
    <w:rsid w:val="002F06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6C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FC2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0E38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6D3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4FA-AD43-4487-9BD0-26E9E90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Муранова</dc:creator>
  <cp:lastModifiedBy>Пользователь Windows</cp:lastModifiedBy>
  <cp:revision>204</cp:revision>
  <cp:lastPrinted>2023-01-09T06:57:00Z</cp:lastPrinted>
  <dcterms:created xsi:type="dcterms:W3CDTF">2019-11-28T08:27:00Z</dcterms:created>
  <dcterms:modified xsi:type="dcterms:W3CDTF">2023-01-09T08:16:00Z</dcterms:modified>
</cp:coreProperties>
</file>